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tbl>
      <w:tblPr>
        <w:tblStyle w:val="12"/>
        <w:tblpPr w:leftFromText="181" w:rightFromText="181" w:horzAnchor="page" w:tblpX="1707" w:tblpY="56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68"/>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exact"/>
        </w:trPr>
        <w:tc>
          <w:tcPr>
            <w:tcW w:w="70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distribute"/>
              <w:textAlignment w:val="auto"/>
              <w:rPr>
                <w:rFonts w:hint="default" w:ascii="方正小标宋简体" w:hAnsi="方正小标宋简体" w:eastAsia="方正小标宋简体" w:cs="方正小标宋简体"/>
                <w:color w:val="FF0000"/>
                <w:sz w:val="86"/>
                <w:szCs w:val="86"/>
                <w:lang w:val="en" w:eastAsia="zh-CN"/>
              </w:rPr>
            </w:pPr>
            <w:r>
              <w:rPr>
                <w:rFonts w:hint="eastAsia" w:ascii="方正小标宋简体" w:hAnsi="方正小标宋简体" w:eastAsia="方正小标宋简体" w:cs="方正小标宋简体"/>
                <w:color w:val="FF0000"/>
                <w:w w:val="60"/>
                <w:sz w:val="86"/>
                <w:szCs w:val="86"/>
              </w:rPr>
              <w:t>台州</w:t>
            </w:r>
            <w:r>
              <w:rPr>
                <w:rFonts w:hint="eastAsia" w:ascii="方正小标宋简体" w:hAnsi="方正小标宋简体" w:eastAsia="方正小标宋简体" w:cs="方正小标宋简体"/>
                <w:color w:val="FF0000"/>
                <w:w w:val="60"/>
                <w:sz w:val="86"/>
                <w:szCs w:val="86"/>
                <w:lang w:val="en-US" w:eastAsia="zh-CN"/>
              </w:rPr>
              <w:t>市安全生产委员会办公室</w:t>
            </w:r>
          </w:p>
        </w:tc>
        <w:tc>
          <w:tcPr>
            <w:tcW w:w="1605" w:type="dxa"/>
            <w:vMerge w:val="restart"/>
            <w:tcBorders>
              <w:tl2br w:val="nil"/>
              <w:tr2bl w:val="nil"/>
            </w:tcBorders>
            <w:noWrap w:val="0"/>
            <w:vAlign w:val="center"/>
          </w:tcPr>
          <w:p>
            <w:pPr>
              <w:spacing w:line="240" w:lineRule="auto"/>
              <w:ind w:firstLine="0" w:firstLineChars="0"/>
              <w:jc w:val="right"/>
              <w:rPr>
                <w:rFonts w:hint="eastAsia" w:ascii="方正小标宋简体" w:hAnsi="Calibri" w:eastAsia="方正小标宋简体" w:cs="Times New Roman"/>
                <w:color w:val="FFFFFF"/>
                <w:w w:val="90"/>
                <w:sz w:val="68"/>
                <w:szCs w:val="68"/>
                <w:vertAlign w:val="baseline"/>
              </w:rPr>
            </w:pPr>
            <w:r>
              <w:rPr>
                <w:rFonts w:hint="eastAsia" w:ascii="方正小标宋简体" w:hAnsi="Calibri" w:eastAsia="方正小标宋简体" w:cs="Times New Roman"/>
                <w:color w:val="FF0000"/>
                <w:spacing w:val="40"/>
                <w:w w:val="70"/>
                <w:sz w:val="72"/>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exact"/>
        </w:trPr>
        <w:tc>
          <w:tcPr>
            <w:tcW w:w="70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distribute"/>
              <w:textAlignment w:val="auto"/>
              <w:rPr>
                <w:rFonts w:hint="eastAsia" w:ascii="方正小标宋简体" w:hAnsi="方正小标宋简体" w:eastAsia="方正小标宋简体" w:cs="方正小标宋简体"/>
                <w:color w:val="FF0000"/>
                <w:w w:val="90"/>
                <w:sz w:val="86"/>
                <w:szCs w:val="86"/>
              </w:rPr>
            </w:pPr>
            <w:r>
              <w:rPr>
                <w:rFonts w:hint="eastAsia" w:ascii="方正小标宋简体" w:hAnsi="方正小标宋简体" w:eastAsia="方正小标宋简体" w:cs="方正小标宋简体"/>
                <w:color w:val="FF0000"/>
                <w:w w:val="90"/>
                <w:sz w:val="86"/>
                <w:szCs w:val="86"/>
              </w:rPr>
              <w:t>台州</w:t>
            </w:r>
            <w:r>
              <w:rPr>
                <w:rFonts w:hint="eastAsia" w:ascii="方正小标宋简体" w:hAnsi="方正小标宋简体" w:eastAsia="方正小标宋简体" w:cs="方正小标宋简体"/>
                <w:color w:val="FF0000"/>
                <w:w w:val="90"/>
                <w:sz w:val="86"/>
                <w:szCs w:val="86"/>
                <w:lang w:val="en-US" w:eastAsia="zh-CN"/>
              </w:rPr>
              <w:t>市财政局</w:t>
            </w:r>
          </w:p>
        </w:tc>
        <w:tc>
          <w:tcPr>
            <w:tcW w:w="1605" w:type="dxa"/>
            <w:vMerge w:val="continue"/>
            <w:tcBorders>
              <w:tl2br w:val="nil"/>
              <w:tr2bl w:val="nil"/>
            </w:tcBorders>
            <w:noWrap w:val="0"/>
            <w:vAlign w:val="center"/>
          </w:tcPr>
          <w:p>
            <w:pPr>
              <w:spacing w:line="240" w:lineRule="auto"/>
              <w:ind w:firstLine="0" w:firstLineChars="0"/>
              <w:jc w:val="center"/>
              <w:rPr>
                <w:rFonts w:hint="eastAsia" w:ascii="方正小标宋简体" w:hAnsi="Calibri" w:eastAsia="方正小标宋简体" w:cs="Times New Roman"/>
                <w:color w:val="FFFFFF"/>
                <w:w w:val="90"/>
                <w:sz w:val="68"/>
                <w:szCs w:val="68"/>
                <w:vertAlign w:val="baseline"/>
              </w:rPr>
            </w:pPr>
          </w:p>
        </w:tc>
      </w:tr>
    </w:tbl>
    <w:p>
      <w:pPr>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center"/>
        <w:textAlignment w:val="auto"/>
        <w:rPr>
          <w:rFonts w:hint="eastAsia" w:ascii="仿宋_GB2312" w:hAnsi="Calibri"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after="0" w:line="700" w:lineRule="exact"/>
        <w:ind w:firstLine="0" w:firstLineChars="0"/>
        <w:jc w:val="center"/>
        <w:textAlignment w:val="auto"/>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台</w:t>
      </w:r>
      <w:r>
        <w:rPr>
          <w:rFonts w:hint="eastAsia" w:hAnsi="Calibri" w:cs="Times New Roman"/>
          <w:color w:val="000000"/>
          <w:sz w:val="32"/>
          <w:szCs w:val="32"/>
          <w:lang w:eastAsia="zh-CN"/>
        </w:rPr>
        <w:t>安委办</w:t>
      </w:r>
      <w:r>
        <w:rPr>
          <w:rFonts w:hint="eastAsia"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lang w:eastAsia="zh-CN"/>
        </w:rPr>
        <w:t>20</w:t>
      </w:r>
      <w:r>
        <w:rPr>
          <w:rFonts w:hint="eastAsia" w:ascii="仿宋_GB2312" w:hAnsi="Calibri" w:eastAsia="仿宋_GB2312" w:cs="Times New Roman"/>
          <w:color w:val="000000"/>
          <w:sz w:val="32"/>
          <w:szCs w:val="32"/>
          <w:lang w:val="en-US" w:eastAsia="zh-CN"/>
        </w:rPr>
        <w:t>2</w:t>
      </w:r>
      <w:r>
        <w:rPr>
          <w:rFonts w:hint="eastAsia" w:hAnsi="Calibri" w:cs="Times New Roman"/>
          <w:color w:val="000000"/>
          <w:sz w:val="32"/>
          <w:szCs w:val="32"/>
          <w:lang w:val="en-US" w:eastAsia="zh-CN"/>
        </w:rPr>
        <w:t>2</w:t>
      </w:r>
      <w:r>
        <w:rPr>
          <w:rFonts w:hint="eastAsia" w:ascii="仿宋_GB2312" w:hAnsi="Calibri" w:eastAsia="仿宋_GB2312" w:cs="Times New Roman"/>
          <w:color w:val="000000"/>
          <w:sz w:val="32"/>
          <w:szCs w:val="32"/>
        </w:rPr>
        <w:t>〕</w:t>
      </w:r>
      <w:r>
        <w:rPr>
          <w:rFonts w:hint="eastAsia" w:hAnsi="Calibri" w:cs="Times New Roman"/>
          <w:color w:val="000000"/>
          <w:sz w:val="32"/>
          <w:szCs w:val="32"/>
          <w:lang w:val="en-US" w:eastAsia="zh-CN"/>
        </w:rPr>
        <w:t>8</w:t>
      </w:r>
      <w:r>
        <w:rPr>
          <w:rFonts w:hint="eastAsia" w:ascii="仿宋_GB2312" w:hAnsi="Calibri" w:eastAsia="仿宋_GB2312"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after="0" w:line="700" w:lineRule="exact"/>
        <w:ind w:firstLine="0" w:firstLineChars="0"/>
        <w:jc w:val="center"/>
        <w:textAlignment w:val="auto"/>
        <w:rPr>
          <w:rFonts w:hint="eastAsia" w:ascii="仿宋_GB2312" w:hAnsi="Calibri" w:eastAsia="仿宋_GB2312" w:cs="Times New Roman"/>
          <w:color w:val="00000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line">
                  <wp:posOffset>99060</wp:posOffset>
                </wp:positionV>
                <wp:extent cx="5648325" cy="38100"/>
                <wp:effectExtent l="0" t="12700" r="9525" b="25400"/>
                <wp:wrapNone/>
                <wp:docPr id="8" name="直接连接符 8"/>
                <wp:cNvGraphicFramePr/>
                <a:graphic xmlns:a="http://schemas.openxmlformats.org/drawingml/2006/main">
                  <a:graphicData uri="http://schemas.microsoft.com/office/word/2010/wordprocessingShape">
                    <wps:wsp>
                      <wps:cNvCnPr/>
                      <wps:spPr>
                        <a:xfrm>
                          <a:off x="984885" y="5098415"/>
                          <a:ext cx="5648325" cy="3810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1pt;margin-top:7.8pt;height:3pt;width:444.75pt;mso-position-vertical-relative:line;z-index:251661312;mso-width-relative:page;mso-height-relative:page;" filled="f" stroked="t" coordsize="21600,21600" o:gfxdata="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Nn8jXAAAACAEAAA8AAAAAAAAAAQAgAAAAIgAAAGRycy9kb3du&#10;cmV2LnhtbFBLAQIUABQAAAAIAIdO4kCT8u9vAAIAAOgDAAAOAAAAAAAAAAEAIAAAACYBAABkcnMv&#10;ZTJvRG9jLnhtbFBLBQYAAAAABgAGAFkBAACYBQAAAAA=&#10;">
                <v:fill on="f" focussize="0,0"/>
                <v:stroke weight="2pt" color="#FF0000" joinstyle="round"/>
                <v:imagedata o:title=""/>
                <o:lock v:ext="edit" aspectratio="f"/>
              </v:line>
            </w:pict>
          </mc:Fallback>
        </mc:AlternateContent>
      </w:r>
    </w:p>
    <w:p>
      <w:pPr>
        <w:pStyle w:val="5"/>
        <w:bidi w:val="0"/>
        <w:rPr>
          <w:rFonts w:hint="eastAsia"/>
        </w:rPr>
      </w:pPr>
      <w:r>
        <w:rPr>
          <w:rFonts w:hint="eastAsia"/>
          <w:lang w:eastAsia="zh-CN"/>
        </w:rPr>
        <w:t>台州市</w:t>
      </w:r>
      <w:r>
        <w:rPr>
          <w:rFonts w:hint="eastAsia"/>
        </w:rPr>
        <w:t>安全生产委员会办公室</w:t>
      </w:r>
      <w:r>
        <w:rPr>
          <w:rFonts w:hint="eastAsia"/>
          <w:lang w:val="en-US" w:eastAsia="zh-CN"/>
        </w:rPr>
        <w:t xml:space="preserve"> </w:t>
      </w:r>
      <w:r>
        <w:rPr>
          <w:rFonts w:hint="eastAsia"/>
          <w:lang w:eastAsia="zh-CN"/>
        </w:rPr>
        <w:t>台州市</w:t>
      </w:r>
      <w:r>
        <w:rPr>
          <w:rFonts w:hint="eastAsia"/>
        </w:rPr>
        <w:t>财政</w:t>
      </w:r>
      <w:r>
        <w:rPr>
          <w:rFonts w:hint="eastAsia"/>
          <w:lang w:eastAsia="zh-CN"/>
        </w:rPr>
        <w:t>局</w:t>
      </w:r>
      <w:r>
        <w:rPr>
          <w:rFonts w:hint="eastAsia"/>
        </w:rPr>
        <w:t>关于印发《</w:t>
      </w:r>
      <w:r>
        <w:rPr>
          <w:rFonts w:hint="eastAsia"/>
          <w:lang w:eastAsia="zh-CN"/>
        </w:rPr>
        <w:t>台州市</w:t>
      </w:r>
      <w:r>
        <w:rPr>
          <w:rFonts w:hint="eastAsia"/>
        </w:rPr>
        <w:t>安全生产重大事故隐患和</w:t>
      </w:r>
    </w:p>
    <w:p>
      <w:pPr>
        <w:pStyle w:val="5"/>
        <w:bidi w:val="0"/>
        <w:jc w:val="both"/>
        <w:rPr>
          <w:rFonts w:hint="eastAsia"/>
        </w:rPr>
      </w:pPr>
      <w:r>
        <w:rPr>
          <w:rFonts w:hint="eastAsia"/>
        </w:rPr>
        <w:t>违法行为举报奖励实施办法（试行）》的通知</w:t>
      </w:r>
    </w:p>
    <w:p>
      <w:pPr>
        <w:bidi w:val="0"/>
        <w:rPr>
          <w:rFonts w:hint="eastAsia"/>
        </w:rPr>
      </w:pPr>
    </w:p>
    <w:p>
      <w:pPr>
        <w:bidi w:val="0"/>
        <w:ind w:left="0" w:leftChars="0" w:firstLine="0" w:firstLineChars="0"/>
        <w:rPr>
          <w:rFonts w:hint="eastAsia"/>
        </w:rPr>
      </w:pPr>
      <w:r>
        <w:rPr>
          <w:rFonts w:hint="eastAsia"/>
          <w:lang w:eastAsia="zh-CN"/>
        </w:rPr>
        <w:t>各县（市、区）、</w:t>
      </w:r>
      <w:r>
        <w:rPr>
          <w:rFonts w:hint="eastAsia"/>
          <w:lang w:val="en-US" w:eastAsia="zh-CN"/>
        </w:rPr>
        <w:t>台州湾新区</w:t>
      </w:r>
      <w:r>
        <w:rPr>
          <w:rFonts w:hint="eastAsia"/>
        </w:rPr>
        <w:t>安委办</w:t>
      </w:r>
      <w:bookmarkStart w:id="0" w:name="_GoBack"/>
      <w:bookmarkEnd w:id="0"/>
      <w:r>
        <w:rPr>
          <w:rFonts w:hint="eastAsia"/>
        </w:rPr>
        <w:t>、财政局</w:t>
      </w:r>
      <w:r>
        <w:rPr>
          <w:rFonts w:hint="eastAsia"/>
          <w:lang w:eastAsia="zh-CN"/>
        </w:rPr>
        <w:t>（</w:t>
      </w:r>
      <w:r>
        <w:rPr>
          <w:rFonts w:hint="eastAsia"/>
          <w:lang w:val="en-US" w:eastAsia="zh-CN"/>
        </w:rPr>
        <w:t>财金局</w:t>
      </w:r>
      <w:r>
        <w:rPr>
          <w:rFonts w:hint="eastAsia"/>
          <w:lang w:eastAsia="zh-CN"/>
        </w:rPr>
        <w:t>），市安委会各成员单位</w:t>
      </w:r>
      <w:r>
        <w:rPr>
          <w:rFonts w:hint="eastAsia"/>
        </w:rPr>
        <w:t>:</w:t>
      </w:r>
    </w:p>
    <w:p>
      <w:pPr>
        <w:bidi w:val="0"/>
        <w:rPr>
          <w:rFonts w:hint="eastAsia"/>
          <w:lang w:eastAsia="zh-CN"/>
        </w:rPr>
      </w:pPr>
      <w:r>
        <w:rPr>
          <w:rFonts w:hint="eastAsia"/>
        </w:rPr>
        <w:t>为强化安全生产工作的社会监督</w:t>
      </w:r>
      <w:r>
        <w:rPr>
          <w:rFonts w:hint="eastAsia"/>
          <w:lang w:eastAsia="zh-CN"/>
        </w:rPr>
        <w:t>，</w:t>
      </w:r>
      <w:r>
        <w:rPr>
          <w:rFonts w:hint="eastAsia"/>
        </w:rPr>
        <w:t>鼓励举报安全生产重大事故隐患和违法行为</w:t>
      </w:r>
      <w:r>
        <w:rPr>
          <w:rFonts w:hint="eastAsia"/>
          <w:lang w:eastAsia="zh-CN"/>
        </w:rPr>
        <w:t>，台州市</w:t>
      </w:r>
      <w:r>
        <w:rPr>
          <w:rFonts w:hint="eastAsia"/>
        </w:rPr>
        <w:t>安全生产委员会办公室、</w:t>
      </w:r>
      <w:r>
        <w:rPr>
          <w:rFonts w:hint="eastAsia"/>
          <w:lang w:eastAsia="zh-CN"/>
        </w:rPr>
        <w:t>台州市</w:t>
      </w:r>
      <w:r>
        <w:rPr>
          <w:rFonts w:hint="eastAsia"/>
        </w:rPr>
        <w:t>财政</w:t>
      </w:r>
      <w:r>
        <w:rPr>
          <w:rFonts w:hint="eastAsia"/>
          <w:lang w:eastAsia="zh-CN"/>
        </w:rPr>
        <w:t>局</w:t>
      </w:r>
      <w:r>
        <w:rPr>
          <w:rFonts w:hint="eastAsia"/>
        </w:rPr>
        <w:t>制定了《</w:t>
      </w:r>
      <w:r>
        <w:rPr>
          <w:rFonts w:hint="eastAsia"/>
          <w:lang w:eastAsia="zh-CN"/>
        </w:rPr>
        <w:t>台州市</w:t>
      </w:r>
      <w:r>
        <w:rPr>
          <w:rFonts w:hint="eastAsia"/>
        </w:rPr>
        <w:t>安全生产重大事故隐患和违法行为举报奖励实施办法（试行）》</w:t>
      </w:r>
      <w:r>
        <w:rPr>
          <w:rFonts w:hint="eastAsia"/>
          <w:lang w:eastAsia="zh-CN"/>
        </w:rPr>
        <w:t>，</w:t>
      </w:r>
      <w:r>
        <w:rPr>
          <w:rFonts w:hint="eastAsia"/>
        </w:rPr>
        <w:t>现予印发</w:t>
      </w:r>
      <w:r>
        <w:rPr>
          <w:rFonts w:hint="eastAsia"/>
          <w:lang w:eastAsia="zh-CN"/>
        </w:rPr>
        <w:t>，</w:t>
      </w:r>
      <w:r>
        <w:rPr>
          <w:rFonts w:hint="eastAsia"/>
        </w:rPr>
        <w:t>请遵照执行</w:t>
      </w:r>
      <w:r>
        <w:rPr>
          <w:rFonts w:hint="eastAsia"/>
          <w:lang w:eastAsia="zh-CN"/>
        </w:rPr>
        <w:t>。</w:t>
      </w:r>
    </w:p>
    <w:p>
      <w:pPr>
        <w:bidi w:val="0"/>
        <w:rPr>
          <w:rFonts w:hint="eastAsia"/>
          <w:lang w:eastAsia="zh-CN"/>
        </w:rPr>
      </w:pPr>
    </w:p>
    <w:p>
      <w:pPr>
        <w:bidi w:val="0"/>
        <w:ind w:left="0" w:leftChars="0" w:firstLine="0" w:firstLineChars="0"/>
        <w:rPr>
          <w:rFonts w:hint="eastAsia"/>
          <w:lang w:eastAsia="zh-CN"/>
        </w:rPr>
      </w:pPr>
      <w:r>
        <w:rPr>
          <w:rFonts w:hint="eastAsia"/>
          <w:lang w:eastAsia="zh-CN"/>
        </w:rPr>
        <w:t>台州市安全生产委员会办公室</w:t>
      </w:r>
      <w:r>
        <w:rPr>
          <w:rFonts w:hint="eastAsia"/>
          <w:lang w:val="en-US" w:eastAsia="zh-CN"/>
        </w:rPr>
        <w:t xml:space="preserve">           </w:t>
      </w:r>
      <w:r>
        <w:rPr>
          <w:rFonts w:hint="eastAsia"/>
          <w:lang w:eastAsia="zh-CN"/>
        </w:rPr>
        <w:t>台州市财政局</w:t>
      </w:r>
    </w:p>
    <w:p>
      <w:pPr>
        <w:wordWrap w:val="0"/>
        <w:bidi w:val="0"/>
        <w:ind w:left="0" w:leftChars="0" w:firstLine="0" w:firstLineChars="0"/>
        <w:jc w:val="right"/>
        <w:rPr>
          <w:rFonts w:hint="eastAsia"/>
          <w:lang w:val="en-US" w:eastAsia="zh-CN"/>
        </w:rPr>
        <w:sectPr>
          <w:footerReference r:id="rId5" w:type="default"/>
          <w:pgSz w:w="11906" w:h="16838"/>
          <w:pgMar w:top="1701" w:right="1531" w:bottom="1701" w:left="1531" w:header="851" w:footer="964" w:gutter="0"/>
          <w:pgNumType w:fmt="decimal"/>
          <w:cols w:space="0" w:num="1"/>
          <w:rtlGutter w:val="0"/>
          <w:docGrid w:type="linesAndChars" w:linePitch="602" w:charSpace="-1675"/>
        </w:sectPr>
      </w:pPr>
      <w:r>
        <w:rPr>
          <w:rFonts w:hint="eastAsia"/>
          <w:lang w:val="en-US" w:eastAsia="zh-CN"/>
        </w:rPr>
        <w:t xml:space="preserve">2022年4月2日      </w:t>
      </w:r>
    </w:p>
    <w:p>
      <w:pPr>
        <w:pStyle w:val="5"/>
        <w:bidi w:val="0"/>
        <w:rPr>
          <w:rFonts w:hint="eastAsia"/>
        </w:rPr>
      </w:pPr>
      <w:r>
        <w:rPr>
          <w:rFonts w:hint="eastAsia"/>
        </w:rPr>
        <w:t>台州市安全生产重大事故隐患和</w:t>
      </w:r>
    </w:p>
    <w:p>
      <w:pPr>
        <w:pStyle w:val="5"/>
        <w:bidi w:val="0"/>
        <w:rPr>
          <w:rFonts w:hint="eastAsia"/>
        </w:rPr>
      </w:pPr>
      <w:r>
        <w:rPr>
          <w:rFonts w:hint="eastAsia"/>
        </w:rPr>
        <w:t>违法行为举报奖励实施办法（试行）</w:t>
      </w:r>
    </w:p>
    <w:p>
      <w:pPr>
        <w:rPr>
          <w:rFonts w:hint="eastAsia"/>
        </w:rPr>
      </w:pPr>
    </w:p>
    <w:p>
      <w:pPr>
        <w:keepNext w:val="0"/>
        <w:keepLines w:val="0"/>
        <w:widowControl w:val="0"/>
        <w:bidi w:val="0"/>
        <w:adjustRightInd w:val="0"/>
        <w:snapToGrid w:val="0"/>
        <w:spacing w:before="50" w:beforeLines="50" w:beforeAutospacing="0" w:after="50" w:afterLines="50" w:afterAutospacing="0" w:line="600" w:lineRule="exact"/>
        <w:ind w:firstLine="0" w:firstLineChars="0"/>
        <w:jc w:val="center"/>
        <w:outlineLvl w:val="1"/>
        <w:rPr>
          <w:rFonts w:hint="eastAsia" w:ascii="黑体" w:hAnsi="黑体" w:eastAsia="黑体" w:cstheme="minorBidi"/>
          <w:kern w:val="2"/>
          <w:sz w:val="32"/>
          <w:szCs w:val="22"/>
          <w:lang w:val="en-US" w:eastAsia="zh-CN" w:bidi="ar-SA"/>
        </w:rPr>
      </w:pPr>
      <w:r>
        <w:rPr>
          <w:rFonts w:hint="eastAsia" w:ascii="黑体" w:hAnsi="黑体" w:eastAsia="黑体" w:cstheme="minorBidi"/>
          <w:kern w:val="2"/>
          <w:sz w:val="32"/>
          <w:szCs w:val="22"/>
          <w:lang w:val="en-US" w:eastAsia="zh-CN" w:bidi="ar-SA"/>
        </w:rPr>
        <w:t>第一章</w:t>
      </w:r>
      <w:r>
        <w:rPr>
          <w:rFonts w:hint="default" w:ascii="黑体" w:hAnsi="黑体" w:eastAsia="黑体" w:cstheme="minorBidi"/>
          <w:kern w:val="2"/>
          <w:sz w:val="32"/>
          <w:szCs w:val="22"/>
          <w:lang w:val="en" w:eastAsia="zh-CN" w:bidi="ar-SA"/>
        </w:rPr>
        <w:t xml:space="preserve">  </w:t>
      </w:r>
      <w:r>
        <w:rPr>
          <w:rFonts w:hint="eastAsia" w:ascii="黑体" w:hAnsi="黑体" w:eastAsia="黑体" w:cstheme="minorBidi"/>
          <w:kern w:val="2"/>
          <w:sz w:val="32"/>
          <w:szCs w:val="22"/>
          <w:lang w:val="en-US" w:eastAsia="zh-CN" w:bidi="ar-SA"/>
        </w:rPr>
        <w:t>总则</w:t>
      </w:r>
    </w:p>
    <w:p>
      <w:pPr>
        <w:rPr>
          <w:rFonts w:hint="eastAsia"/>
        </w:rPr>
      </w:pPr>
      <w:r>
        <w:rPr>
          <w:rStyle w:val="19"/>
          <w:rFonts w:hint="eastAsia"/>
        </w:rPr>
        <w:t>第一条</w:t>
      </w:r>
      <w:r>
        <w:rPr>
          <w:rFonts w:hint="eastAsia"/>
        </w:rPr>
        <w:t xml:space="preserve">  为进一步加强安全生产工作的社会监督，鼓励举报安全生产事故隐患和违法行为，及时发现、制止和惩处违法行为, 依据《中华人民共和国安全生产法》《浙江省安全生产条例》和原国家安全监管总局</w:t>
      </w:r>
      <w:r>
        <w:rPr>
          <w:rFonts w:hint="eastAsia"/>
          <w:lang w:val="en-US" w:eastAsia="zh-CN"/>
        </w:rPr>
        <w:t xml:space="preserve"> </w:t>
      </w:r>
      <w:r>
        <w:rPr>
          <w:rFonts w:hint="eastAsia"/>
        </w:rPr>
        <w:t>财政部《安全生产领域举报奖励办法》</w:t>
      </w:r>
      <w:r>
        <w:rPr>
          <w:rFonts w:hint="eastAsia"/>
          <w:lang w:eastAsia="zh-CN"/>
        </w:rPr>
        <w:t>浙江省安全生产委员会办公室</w:t>
      </w:r>
      <w:r>
        <w:rPr>
          <w:rFonts w:hint="eastAsia"/>
          <w:lang w:val="en-US" w:eastAsia="zh-CN"/>
        </w:rPr>
        <w:t xml:space="preserve"> 浙江省财政厅</w:t>
      </w:r>
      <w:r>
        <w:rPr>
          <w:rFonts w:hint="eastAsia"/>
        </w:rPr>
        <w:t>《浙江省安全生产重大事故隐患和违法行为举报奖励实施办法（试行）》等有关法律法规和文件，制定本办法。</w:t>
      </w:r>
    </w:p>
    <w:p>
      <w:pPr>
        <w:rPr>
          <w:rFonts w:hint="eastAsia"/>
        </w:rPr>
      </w:pPr>
      <w:r>
        <w:rPr>
          <w:rFonts w:hint="eastAsia"/>
        </w:rPr>
        <w:t>有关法律、法规、规章另有规定的适用其规定。</w:t>
      </w:r>
    </w:p>
    <w:p>
      <w:pPr>
        <w:rPr>
          <w:rFonts w:hint="eastAsia"/>
        </w:rPr>
      </w:pPr>
      <w:r>
        <w:rPr>
          <w:rStyle w:val="19"/>
          <w:rFonts w:hint="eastAsia"/>
        </w:rPr>
        <w:t>第二条</w:t>
      </w:r>
      <w:r>
        <w:rPr>
          <w:rFonts w:hint="eastAsia"/>
        </w:rPr>
        <w:t xml:space="preserve">  本办法适用于台州市范围内的安全生产重大事故隐患和违法行为的举报奖励。</w:t>
      </w:r>
    </w:p>
    <w:p>
      <w:pPr>
        <w:rPr>
          <w:rFonts w:hint="eastAsia"/>
        </w:rPr>
      </w:pPr>
      <w:r>
        <w:rPr>
          <w:rStyle w:val="19"/>
          <w:rFonts w:hint="eastAsia"/>
        </w:rPr>
        <w:t xml:space="preserve">第三条  </w:t>
      </w:r>
      <w:r>
        <w:rPr>
          <w:rFonts w:hint="eastAsia"/>
        </w:rPr>
        <w:t>任何单位、组织和个人（以下统称为举报人）有权向县级以上人民政府应急管理部门和负责有关行业、领域的安全生产监督管理工作的部门（以下统称负有安全生产监督管理职责的部门）举报安全生产重大事故隐患和违法行为。本办法仅适用实名举报。</w:t>
      </w:r>
    </w:p>
    <w:p>
      <w:pPr>
        <w:rPr>
          <w:rFonts w:hint="eastAsia"/>
        </w:rPr>
      </w:pPr>
      <w:r>
        <w:rPr>
          <w:rFonts w:hint="eastAsia" w:ascii="楷体_GB2312" w:hAnsi="楷体_GB2312" w:eastAsia="楷体_GB2312"/>
          <w:b/>
        </w:rPr>
        <w:t>第四条</w:t>
      </w:r>
      <w:r>
        <w:rPr>
          <w:rFonts w:hint="eastAsia"/>
        </w:rPr>
        <w:t xml:space="preserve">  县级以上安委会应当加强对本行政区域内涉及安全生产领域举报奖励工作的统一领导，支持、督促各负有安全生产监督管理职责的部门依法履行举报奖励的相关职责。</w:t>
      </w:r>
    </w:p>
    <w:p>
      <w:pPr>
        <w:rPr>
          <w:rFonts w:hint="eastAsia"/>
        </w:rPr>
      </w:pPr>
      <w:r>
        <w:rPr>
          <w:rFonts w:hint="eastAsia" w:ascii="楷体_GB2312" w:hAnsi="楷体_GB2312" w:eastAsia="楷体_GB2312"/>
          <w:b/>
        </w:rPr>
        <w:t>第五条</w:t>
      </w:r>
      <w:r>
        <w:rPr>
          <w:rFonts w:hint="eastAsia"/>
        </w:rPr>
        <w:t xml:space="preserve"> </w:t>
      </w:r>
      <w:r>
        <w:rPr>
          <w:rFonts w:hint="default"/>
          <w:lang w:val="en"/>
        </w:rPr>
        <w:t xml:space="preserve"> </w:t>
      </w:r>
      <w:r>
        <w:rPr>
          <w:rFonts w:hint="eastAsia"/>
        </w:rPr>
        <w:t xml:space="preserve">各级负有安全生产监督管理职责的部门应当指派专人负责开展安全生产重大事故隐患和违法行为的举报奖励工作。 </w:t>
      </w:r>
    </w:p>
    <w:p>
      <w:pPr>
        <w:keepNext w:val="0"/>
        <w:keepLines w:val="0"/>
        <w:widowControl w:val="0"/>
        <w:bidi w:val="0"/>
        <w:adjustRightInd w:val="0"/>
        <w:snapToGrid w:val="0"/>
        <w:spacing w:before="50" w:beforeLines="50" w:beforeAutospacing="0" w:after="50" w:afterLines="50" w:afterAutospacing="0" w:line="600" w:lineRule="exact"/>
        <w:ind w:firstLine="0" w:firstLineChars="0"/>
        <w:jc w:val="center"/>
        <w:outlineLvl w:val="1"/>
        <w:rPr>
          <w:rFonts w:hint="eastAsia" w:ascii="黑体" w:hAnsi="黑体" w:eastAsia="黑体" w:cstheme="minorBidi"/>
          <w:kern w:val="2"/>
          <w:sz w:val="32"/>
          <w:szCs w:val="22"/>
          <w:lang w:val="en-US" w:eastAsia="zh-CN" w:bidi="ar-SA"/>
        </w:rPr>
      </w:pPr>
      <w:r>
        <w:rPr>
          <w:rFonts w:hint="eastAsia" w:ascii="黑体" w:hAnsi="黑体" w:eastAsia="黑体" w:cstheme="minorBidi"/>
          <w:kern w:val="2"/>
          <w:sz w:val="32"/>
          <w:szCs w:val="22"/>
          <w:lang w:val="en-US" w:eastAsia="zh-CN" w:bidi="ar-SA"/>
        </w:rPr>
        <w:t>第二章</w:t>
      </w:r>
      <w:r>
        <w:rPr>
          <w:rFonts w:hint="default" w:ascii="黑体" w:hAnsi="黑体" w:eastAsia="黑体" w:cstheme="minorBidi"/>
          <w:kern w:val="2"/>
          <w:sz w:val="32"/>
          <w:szCs w:val="22"/>
          <w:lang w:val="en" w:eastAsia="zh-CN" w:bidi="ar-SA"/>
        </w:rPr>
        <w:t xml:space="preserve">  </w:t>
      </w:r>
      <w:r>
        <w:rPr>
          <w:rFonts w:hint="eastAsia" w:ascii="黑体" w:hAnsi="黑体" w:eastAsia="黑体" w:cstheme="minorBidi"/>
          <w:kern w:val="2"/>
          <w:sz w:val="32"/>
          <w:szCs w:val="22"/>
          <w:lang w:val="en-US" w:eastAsia="zh-CN" w:bidi="ar-SA"/>
        </w:rPr>
        <w:t>举报受理</w:t>
      </w:r>
    </w:p>
    <w:p>
      <w:pPr>
        <w:rPr>
          <w:rFonts w:hint="eastAsia"/>
        </w:rPr>
      </w:pPr>
      <w:r>
        <w:rPr>
          <w:rFonts w:hint="eastAsia" w:ascii="楷体_GB2312" w:hAnsi="楷体_GB2312" w:eastAsia="楷体_GB2312"/>
          <w:b/>
        </w:rPr>
        <w:t>第六条</w:t>
      </w:r>
      <w:r>
        <w:rPr>
          <w:rFonts w:hint="eastAsia"/>
        </w:rPr>
        <w:t xml:space="preserve">  举报受理应当坚持“属地为主、分级受理、行业负责”和“谁主管、谁负责，谁审批、谁负责”的原则。</w:t>
      </w:r>
    </w:p>
    <w:p>
      <w:pPr>
        <w:rPr>
          <w:rFonts w:hint="eastAsia"/>
        </w:rPr>
      </w:pPr>
      <w:r>
        <w:rPr>
          <w:rFonts w:hint="eastAsia" w:ascii="楷体_GB2312" w:hAnsi="楷体_GB2312" w:eastAsia="楷体_GB2312"/>
          <w:b/>
        </w:rPr>
        <w:t>第七条</w:t>
      </w:r>
      <w:r>
        <w:rPr>
          <w:rFonts w:hint="eastAsia"/>
        </w:rPr>
        <w:t xml:space="preserve">  </w:t>
      </w:r>
      <w:r>
        <w:t>及时向社会公布本行业领域、本部门的举报电话、 邮政(办公)地址、网站网址、电子信箱等。</w:t>
      </w:r>
    </w:p>
    <w:p>
      <w:pPr>
        <w:rPr>
          <w:rFonts w:hint="eastAsia"/>
        </w:rPr>
      </w:pPr>
      <w:r>
        <w:rPr>
          <w:rFonts w:hint="eastAsia" w:ascii="楷体_GB2312" w:hAnsi="楷体_GB2312" w:eastAsia="楷体_GB2312"/>
          <w:b/>
        </w:rPr>
        <w:t>第八条</w:t>
      </w:r>
      <w:r>
        <w:rPr>
          <w:rFonts w:hint="eastAsia"/>
        </w:rPr>
        <w:t xml:space="preserve">  负有安全生产监督管理职责的部门应当受理属于其职责范围内涉及安全生产领域的举报，并及时向举报人反馈处理结果。</w:t>
      </w:r>
    </w:p>
    <w:p>
      <w:pPr>
        <w:rPr>
          <w:rFonts w:hint="eastAsia"/>
        </w:rPr>
      </w:pPr>
      <w:r>
        <w:rPr>
          <w:rFonts w:hint="eastAsia"/>
        </w:rPr>
        <w:t>举报事项不属于本部门受理范围的，接到举报的部门应当按照有关规定，告知举报人向有处理权的部门举报，或者将举报案 件及相关举报材料移交给其他有处理权的部门，做好记录备存，并采取适当方式告知举报人。</w:t>
      </w:r>
    </w:p>
    <w:p>
      <w:pPr>
        <w:rPr>
          <w:rFonts w:hint="eastAsia"/>
        </w:rPr>
      </w:pPr>
      <w:r>
        <w:rPr>
          <w:rFonts w:hint="eastAsia" w:ascii="楷体_GB2312" w:hAnsi="楷体_GB2312" w:eastAsia="楷体_GB2312"/>
          <w:b/>
        </w:rPr>
        <w:t>第九条</w:t>
      </w:r>
      <w:r>
        <w:rPr>
          <w:rFonts w:hint="eastAsia"/>
        </w:rPr>
        <w:t xml:space="preserve"> </w:t>
      </w:r>
      <w:r>
        <w:rPr>
          <w:rFonts w:hint="default"/>
          <w:lang w:val="en"/>
        </w:rPr>
        <w:t xml:space="preserve"> </w:t>
      </w:r>
      <w:r>
        <w:rPr>
          <w:rFonts w:hint="eastAsia"/>
        </w:rPr>
        <w:t>举报事项具有下列情形之一的，不予受理：</w:t>
      </w:r>
    </w:p>
    <w:p>
      <w:pPr>
        <w:rPr>
          <w:rFonts w:hint="eastAsia"/>
        </w:rPr>
      </w:pPr>
      <w:r>
        <w:rPr>
          <w:rFonts w:hint="eastAsia"/>
        </w:rPr>
        <w:t>（一）无明确的举报对象或者具体的举报事项；</w:t>
      </w:r>
    </w:p>
    <w:p>
      <w:pPr>
        <w:rPr>
          <w:rFonts w:hint="eastAsia"/>
        </w:rPr>
      </w:pPr>
      <w:r>
        <w:rPr>
          <w:rFonts w:hint="eastAsia"/>
        </w:rPr>
        <w:t>（二）已经受理且正在核查处置的举报事项，单一举报人重复举报的；</w:t>
      </w:r>
    </w:p>
    <w:p>
      <w:pPr>
        <w:rPr>
          <w:rFonts w:hint="eastAsia"/>
        </w:rPr>
      </w:pPr>
      <w:r>
        <w:rPr>
          <w:rFonts w:hint="eastAsia"/>
        </w:rPr>
        <w:t>（三）其他不属于本办法所指受理范围的举报事项。</w:t>
      </w:r>
    </w:p>
    <w:p>
      <w:pPr>
        <w:rPr>
          <w:rFonts w:hint="eastAsia"/>
        </w:rPr>
      </w:pPr>
      <w:r>
        <w:rPr>
          <w:rFonts w:hint="eastAsia" w:ascii="楷体_GB2312" w:hAnsi="楷体_GB2312" w:eastAsia="楷体_GB2312"/>
          <w:b/>
        </w:rPr>
        <w:t>第十条</w:t>
      </w:r>
      <w:r>
        <w:rPr>
          <w:rFonts w:hint="eastAsia"/>
        </w:rPr>
        <w:t xml:space="preserve"> </w:t>
      </w:r>
      <w:r>
        <w:rPr>
          <w:rFonts w:hint="default"/>
          <w:lang w:val="en"/>
        </w:rPr>
        <w:t xml:space="preserve"> </w:t>
      </w:r>
      <w:r>
        <w:rPr>
          <w:rFonts w:hint="eastAsia"/>
        </w:rPr>
        <w:t>负有安全生产监督管理职责的部门受理安全生产重大事故隐患和违法行为的举报事项，应遵守以下规定：</w:t>
      </w:r>
    </w:p>
    <w:p>
      <w:pPr>
        <w:rPr>
          <w:rFonts w:hint="eastAsia"/>
        </w:rPr>
      </w:pPr>
      <w:r>
        <w:rPr>
          <w:rFonts w:hint="eastAsia"/>
        </w:rPr>
        <w:t>（一）各级负有安全生产监督管理职责的部门负责本辖区职责范围内的举报事项。必要时，上级部门可以依照职责直接核查 处理辖区内的举报事项，也可移交或指定下级部门办理举报事项。上级部门交由下级部门核查处置的，应当跟踪督导督办，下级部门应对结果负责。</w:t>
      </w:r>
    </w:p>
    <w:p>
      <w:pPr>
        <w:rPr>
          <w:rFonts w:hint="eastAsia"/>
          <w:lang w:val="en-US" w:eastAsia="zh-CN"/>
        </w:rPr>
      </w:pPr>
      <w:r>
        <w:rPr>
          <w:rFonts w:hint="eastAsia"/>
        </w:rPr>
        <w:t>（二）</w:t>
      </w:r>
      <w:r>
        <w:rPr>
          <w:rFonts w:hint="eastAsia"/>
          <w:lang w:val="en-US" w:eastAsia="zh-CN"/>
        </w:rPr>
        <w:t>市级负有安全生产监督管理职责的部门主要负责对驻地央企及其所属企业、省属企业在当地的企业以及市属企业的举报事项；县级负有安全生产监督管理职责的部门主要负责省属、市属企业在当地的企业以及县属企业的举报事项。其他相关部门另有规定的，可以从其规定。</w:t>
      </w:r>
    </w:p>
    <w:p>
      <w:pPr>
        <w:rPr>
          <w:rFonts w:hint="eastAsia"/>
        </w:rPr>
      </w:pPr>
      <w:r>
        <w:rPr>
          <w:rFonts w:hint="eastAsia"/>
        </w:rPr>
        <w:t>（三）各级负有安全生产监督管理职责的部门应当在其职责范围内，按照相关规定、程序，对本部门直接受理的，以及其他部门移交的举报事项及时组织核查处置，结果应及时答复举报人。本部门单独核查确有困难的，应报请本级安委会组成联合核查组进行核查处置。</w:t>
      </w:r>
    </w:p>
    <w:p>
      <w:pPr>
        <w:rPr>
          <w:rFonts w:hint="eastAsia"/>
        </w:rPr>
      </w:pPr>
      <w:r>
        <w:rPr>
          <w:rFonts w:hint="eastAsia"/>
        </w:rPr>
        <w:t>（四）举报事项涉及两个或以上负有安全生产监督管理职责部门的，各部门依据各自职责分别核查处置，并及时答复举报人。</w:t>
      </w:r>
    </w:p>
    <w:p>
      <w:pPr>
        <w:keepNext w:val="0"/>
        <w:keepLines w:val="0"/>
        <w:widowControl w:val="0"/>
        <w:bidi w:val="0"/>
        <w:adjustRightInd w:val="0"/>
        <w:snapToGrid w:val="0"/>
        <w:spacing w:before="50" w:beforeLines="50" w:beforeAutospacing="0" w:after="50" w:afterLines="50" w:afterAutospacing="0" w:line="600" w:lineRule="exact"/>
        <w:ind w:firstLine="0" w:firstLineChars="0"/>
        <w:jc w:val="center"/>
        <w:outlineLvl w:val="1"/>
        <w:rPr>
          <w:rFonts w:hint="eastAsia" w:ascii="黑体" w:hAnsi="黑体" w:eastAsia="黑体" w:cstheme="minorBidi"/>
          <w:kern w:val="2"/>
          <w:sz w:val="32"/>
          <w:szCs w:val="22"/>
          <w:lang w:val="en-US" w:eastAsia="zh-CN" w:bidi="ar-SA"/>
        </w:rPr>
      </w:pPr>
      <w:r>
        <w:rPr>
          <w:rFonts w:hint="eastAsia" w:ascii="黑体" w:hAnsi="黑体" w:eastAsia="黑体" w:cstheme="minorBidi"/>
          <w:kern w:val="2"/>
          <w:sz w:val="32"/>
          <w:szCs w:val="22"/>
          <w:lang w:val="en-US" w:eastAsia="zh-CN" w:bidi="ar-SA"/>
        </w:rPr>
        <w:t>第三章</w:t>
      </w:r>
      <w:r>
        <w:rPr>
          <w:rFonts w:hint="default" w:ascii="黑体" w:hAnsi="黑体" w:eastAsia="黑体" w:cstheme="minorBidi"/>
          <w:kern w:val="2"/>
          <w:sz w:val="32"/>
          <w:szCs w:val="22"/>
          <w:lang w:val="en" w:eastAsia="zh-CN" w:bidi="ar-SA"/>
        </w:rPr>
        <w:t xml:space="preserve">  </w:t>
      </w:r>
      <w:r>
        <w:rPr>
          <w:rFonts w:hint="eastAsia" w:ascii="黑体" w:hAnsi="黑体" w:eastAsia="黑体" w:cstheme="minorBidi"/>
          <w:kern w:val="2"/>
          <w:sz w:val="32"/>
          <w:szCs w:val="22"/>
          <w:lang w:val="en-US" w:eastAsia="zh-CN" w:bidi="ar-SA"/>
        </w:rPr>
        <w:t>举报奖励</w:t>
      </w:r>
    </w:p>
    <w:p>
      <w:pPr>
        <w:rPr>
          <w:rFonts w:hint="eastAsia"/>
        </w:rPr>
      </w:pPr>
      <w:r>
        <w:rPr>
          <w:rFonts w:hint="eastAsia" w:ascii="楷体_GB2312" w:hAnsi="楷体_GB2312" w:eastAsia="楷体_GB2312"/>
          <w:b/>
        </w:rPr>
        <w:t>第</w:t>
      </w:r>
      <w:r>
        <w:rPr>
          <w:rFonts w:hint="eastAsia" w:ascii="楷体_GB2312" w:hAnsi="楷体_GB2312" w:eastAsia="楷体_GB2312"/>
          <w:b/>
          <w:lang w:eastAsia="zh-CN"/>
        </w:rPr>
        <w:t>十一</w:t>
      </w:r>
      <w:r>
        <w:rPr>
          <w:rFonts w:hint="eastAsia" w:ascii="楷体_GB2312" w:hAnsi="楷体_GB2312" w:eastAsia="楷体_GB2312"/>
          <w:b/>
        </w:rPr>
        <w:t>条</w:t>
      </w:r>
      <w:r>
        <w:rPr>
          <w:rFonts w:hint="eastAsia"/>
        </w:rPr>
        <w:t xml:space="preserve"> </w:t>
      </w:r>
      <w:r>
        <w:rPr>
          <w:rFonts w:hint="default"/>
          <w:lang w:val="en"/>
        </w:rPr>
        <w:t xml:space="preserve"> </w:t>
      </w:r>
      <w:r>
        <w:rPr>
          <w:rFonts w:hint="eastAsia"/>
        </w:rPr>
        <w:t>举报奖励应当遵循“合法举报、适当奖励、属地管理、分级负责”和“谁主管、谁查处、谁奖励”的原则。</w:t>
      </w:r>
    </w:p>
    <w:p>
      <w:pPr>
        <w:rPr>
          <w:rFonts w:hint="eastAsia"/>
        </w:rPr>
      </w:pPr>
      <w:r>
        <w:rPr>
          <w:rFonts w:hint="eastAsia" w:ascii="楷体_GB2312" w:hAnsi="楷体_GB2312" w:eastAsia="楷体_GB2312"/>
          <w:b/>
        </w:rPr>
        <w:t>第十二条</w:t>
      </w:r>
      <w:r>
        <w:rPr>
          <w:rFonts w:hint="eastAsia"/>
        </w:rPr>
        <w:t xml:space="preserve"> </w:t>
      </w:r>
      <w:r>
        <w:rPr>
          <w:rFonts w:hint="default"/>
          <w:lang w:val="en"/>
        </w:rPr>
        <w:t xml:space="preserve"> </w:t>
      </w:r>
      <w:r>
        <w:rPr>
          <w:rFonts w:hint="eastAsia"/>
        </w:rPr>
        <w:t>安全生产重大事故隐患是指危害和整改难度较大，应当全部或者局部停产停业，并经过一定时间整改治理方能排除的隐患，或者因外部因素影响致使生产经营单位自身难以排除的隐患。重大事故隐患的判定，按照负有安全监管职责的部门制定并向社会公布的判定标准认定。</w:t>
      </w:r>
    </w:p>
    <w:p>
      <w:pPr>
        <w:rPr>
          <w:rFonts w:hint="eastAsia"/>
        </w:rPr>
      </w:pPr>
      <w:r>
        <w:rPr>
          <w:rFonts w:hint="eastAsia" w:ascii="楷体_GB2312" w:hAnsi="楷体_GB2312" w:eastAsia="楷体_GB2312"/>
          <w:b/>
        </w:rPr>
        <w:t>第十三条</w:t>
      </w:r>
      <w:r>
        <w:rPr>
          <w:rFonts w:hint="eastAsia" w:ascii="仿宋_GB2312" w:eastAsia="仿宋_GB2312"/>
          <w:lang w:val="en-US" w:eastAsia="zh-CN"/>
        </w:rPr>
        <w:t xml:space="preserve">  </w:t>
      </w:r>
      <w:r>
        <w:rPr>
          <w:rFonts w:hint="eastAsia"/>
        </w:rPr>
        <w:t>安全生产违法行为是指违反《中华人民共和国安全生产法》《浙江省安全生产条例》等有关安全生产的法律、法规和规章的行为。</w:t>
      </w:r>
    </w:p>
    <w:p>
      <w:pPr>
        <w:rPr>
          <w:rFonts w:hint="eastAsia"/>
        </w:rPr>
      </w:pPr>
      <w:r>
        <w:rPr>
          <w:rFonts w:hint="eastAsia" w:ascii="楷体_GB2312" w:hAnsi="楷体_GB2312" w:eastAsia="楷体_GB2312"/>
          <w:b/>
        </w:rPr>
        <w:t>第十四条</w:t>
      </w:r>
      <w:r>
        <w:rPr>
          <w:rFonts w:hint="eastAsia" w:ascii="仿宋_GB2312" w:eastAsia="仿宋_GB2312"/>
          <w:lang w:val="en-US" w:eastAsia="zh-CN"/>
        </w:rPr>
        <w:t xml:space="preserve"> </w:t>
      </w:r>
      <w:r>
        <w:rPr>
          <w:rFonts w:hint="eastAsia"/>
        </w:rPr>
        <w:t xml:space="preserve"> 举报奖励应当同时符合下列条件：</w:t>
      </w:r>
    </w:p>
    <w:p>
      <w:pPr>
        <w:rPr>
          <w:rFonts w:hint="eastAsia"/>
        </w:rPr>
      </w:pPr>
      <w:r>
        <w:rPr>
          <w:rFonts w:hint="eastAsia"/>
        </w:rPr>
        <w:t>（一）有明确的被举报对象和具体的安全生产重大事故隐患、违法行为；</w:t>
      </w:r>
    </w:p>
    <w:p>
      <w:pPr>
        <w:rPr>
          <w:rFonts w:hint="eastAsia"/>
        </w:rPr>
      </w:pPr>
      <w:r>
        <w:rPr>
          <w:rFonts w:hint="eastAsia"/>
        </w:rPr>
        <w:t>（二）举报事项未被负有安全生产监督管理职责的部门发现或未作依法处理的；</w:t>
      </w:r>
    </w:p>
    <w:p>
      <w:pPr>
        <w:rPr>
          <w:rFonts w:hint="eastAsia"/>
        </w:rPr>
      </w:pPr>
      <w:r>
        <w:rPr>
          <w:rFonts w:hint="eastAsia"/>
        </w:rPr>
        <w:t>（三）举报事项经负有安全生产监督管理职责的部门核查属实的。</w:t>
      </w:r>
    </w:p>
    <w:p>
      <w:pPr>
        <w:rPr>
          <w:rFonts w:hint="eastAsia"/>
        </w:rPr>
      </w:pPr>
      <w:r>
        <w:rPr>
          <w:rFonts w:hint="eastAsia" w:ascii="楷体_GB2312" w:hAnsi="楷体_GB2312" w:eastAsia="楷体_GB2312"/>
          <w:b/>
        </w:rPr>
        <w:t>第十五条</w:t>
      </w:r>
      <w:r>
        <w:rPr>
          <w:rFonts w:hint="eastAsia"/>
        </w:rPr>
        <w:t xml:space="preserve"> </w:t>
      </w:r>
      <w:r>
        <w:rPr>
          <w:rFonts w:hint="eastAsia" w:ascii="仿宋_GB2312" w:eastAsia="仿宋_GB2312"/>
          <w:lang w:val="en-US" w:eastAsia="zh-CN"/>
        </w:rPr>
        <w:t xml:space="preserve"> </w:t>
      </w:r>
      <w:r>
        <w:rPr>
          <w:rFonts w:hint="eastAsia"/>
        </w:rPr>
        <w:t>有下列情形之一的，不属于本办法奖励范围：</w:t>
      </w:r>
    </w:p>
    <w:p>
      <w:pPr>
        <w:rPr>
          <w:rFonts w:hint="eastAsia"/>
        </w:rPr>
      </w:pPr>
      <w:r>
        <w:rPr>
          <w:rFonts w:hint="eastAsia"/>
        </w:rPr>
        <w:t>（一）履行安全生产监督管理职责的工作人员或其授意他人的举报；</w:t>
      </w:r>
    </w:p>
    <w:p>
      <w:pPr>
        <w:rPr>
          <w:rFonts w:hint="eastAsia"/>
        </w:rPr>
      </w:pPr>
      <w:r>
        <w:rPr>
          <w:rFonts w:hint="eastAsia"/>
        </w:rPr>
        <w:t>（二）举报的安全生产重大事故隐患和违法行为已被立案查处的；</w:t>
      </w:r>
    </w:p>
    <w:p>
      <w:pPr>
        <w:rPr>
          <w:rFonts w:hint="eastAsia"/>
        </w:rPr>
      </w:pPr>
      <w:r>
        <w:rPr>
          <w:rFonts w:hint="eastAsia"/>
        </w:rPr>
        <w:t>（三）其他不符合法律、法规和规章等规定的奖励情形。</w:t>
      </w:r>
    </w:p>
    <w:p>
      <w:pPr>
        <w:rPr>
          <w:rFonts w:hint="eastAsia" w:eastAsia="仿宋_GB2312"/>
          <w:lang w:eastAsia="zh-CN"/>
        </w:rPr>
      </w:pPr>
      <w:r>
        <w:rPr>
          <w:rFonts w:hint="eastAsia" w:ascii="楷体_GB2312" w:hAnsi="楷体_GB2312" w:eastAsia="楷体_GB2312"/>
          <w:b/>
        </w:rPr>
        <w:t xml:space="preserve">第十六条 </w:t>
      </w:r>
      <w:r>
        <w:rPr>
          <w:rFonts w:hint="eastAsia" w:ascii="楷体_GB2312" w:hAnsi="楷体_GB2312" w:eastAsia="楷体_GB2312"/>
          <w:b/>
          <w:lang w:val="en-US" w:eastAsia="zh-CN"/>
        </w:rPr>
        <w:t xml:space="preserve"> </w:t>
      </w:r>
      <w:r>
        <w:rPr>
          <w:rFonts w:hint="eastAsia"/>
        </w:rPr>
        <w:t>举报事项经核查属实的，应当按下列规定对举报人给予奖励:</w:t>
      </w:r>
    </w:p>
    <w:p>
      <w:pPr>
        <w:rPr>
          <w:rFonts w:hint="eastAsia" w:eastAsia="仿宋_GB2312"/>
          <w:lang w:eastAsia="zh-CN"/>
        </w:rPr>
      </w:pPr>
      <w:r>
        <w:rPr>
          <w:rFonts w:hint="eastAsia"/>
        </w:rPr>
        <w:t>（一）对举报安全生产重大事故隐患或违法行为的，奖励金额按照行政处罚金额的15％计算，最低奖励3000元，最高不超过30万元;</w:t>
      </w:r>
    </w:p>
    <w:p>
      <w:pPr>
        <w:rPr>
          <w:rFonts w:hint="eastAsia" w:eastAsia="仿宋_GB2312"/>
          <w:lang w:eastAsia="zh-CN"/>
        </w:rPr>
      </w:pPr>
      <w:r>
        <w:rPr>
          <w:rFonts w:hint="eastAsia"/>
        </w:rPr>
        <w:t>（二）对举报瞒报、谎报事故的，按照最终确认的事故等级和查实举报的瞒报谎报死亡人数给予奖励</w:t>
      </w:r>
      <w:r>
        <w:rPr>
          <w:rFonts w:hint="eastAsia" w:eastAsia="仿宋_GB2312"/>
          <w:lang w:eastAsia="zh-CN"/>
        </w:rPr>
        <w:t>。</w:t>
      </w:r>
      <w:r>
        <w:rPr>
          <w:rFonts w:hint="eastAsia"/>
        </w:rPr>
        <w:t>其中:一般事故按每查实瞒报谎报l人奖励3万元计算;较大事故按每查实瞒报谎报1人奖励4万元计算;重大事故按每查实瞒报谎报1人奖励5万元计算。最高奖励不超过30万元;</w:t>
      </w:r>
    </w:p>
    <w:p>
      <w:pPr>
        <w:rPr>
          <w:rFonts w:hint="eastAsia"/>
        </w:rPr>
      </w:pPr>
      <w:r>
        <w:rPr>
          <w:rFonts w:hint="eastAsia"/>
        </w:rPr>
        <w:t>（三）生产经营单位在岗从业人员举报本单位安全生产重大事故隐患和违法行为，经核查属实的，可以按照上述标准上浮一定比例奖励，最高奖励金额原则上不超过50万元。从业人员安全生产举报具体事宜，遵照应急管理部《生产经营单位从业人员安全生产举报处理规定》执行。</w:t>
      </w:r>
    </w:p>
    <w:p>
      <w:pPr>
        <w:rPr>
          <w:rFonts w:hint="eastAsia"/>
        </w:rPr>
      </w:pPr>
      <w:r>
        <w:rPr>
          <w:rFonts w:hint="eastAsia" w:ascii="楷体_GB2312" w:hAnsi="楷体_GB2312" w:eastAsia="楷体_GB2312"/>
          <w:b/>
        </w:rPr>
        <w:t>第十七条</w:t>
      </w:r>
      <w:r>
        <w:rPr>
          <w:rFonts w:hint="eastAsia"/>
        </w:rPr>
        <w:t xml:space="preserve"> </w:t>
      </w:r>
      <w:r>
        <w:rPr>
          <w:rFonts w:hint="eastAsia" w:ascii="仿宋_GB2312" w:eastAsia="仿宋_GB2312"/>
          <w:lang w:val="en-US" w:eastAsia="zh-CN"/>
        </w:rPr>
        <w:t xml:space="preserve"> </w:t>
      </w:r>
      <w:r>
        <w:rPr>
          <w:rFonts w:hint="eastAsia"/>
        </w:rPr>
        <w:t>多人多次举报同一事项的，对受理时间最先的举报人给予奖励，后续举报人不再奖励。多人联名举报同一事项的，由举报的第一署名人或者第一署名人书面委托的其他署名人领取奖金。</w:t>
      </w:r>
    </w:p>
    <w:p>
      <w:pPr>
        <w:rPr>
          <w:rFonts w:hint="eastAsia"/>
        </w:rPr>
      </w:pPr>
      <w:r>
        <w:rPr>
          <w:rFonts w:hint="eastAsia" w:ascii="楷体_GB2312" w:hAnsi="楷体_GB2312" w:eastAsia="楷体_GB2312"/>
          <w:b/>
        </w:rPr>
        <w:t>第十八条</w:t>
      </w:r>
      <w:r>
        <w:rPr>
          <w:rFonts w:hint="eastAsia" w:ascii="仿宋_GB2312" w:eastAsia="仿宋_GB2312"/>
          <w:lang w:val="en-US" w:eastAsia="zh-CN"/>
        </w:rPr>
        <w:t xml:space="preserve"> </w:t>
      </w:r>
      <w:r>
        <w:rPr>
          <w:rFonts w:hint="eastAsia"/>
        </w:rPr>
        <w:t xml:space="preserve"> 举报人接到领奖通知后，应当在60个工作日内凭举报人有效证件到指定地点领取奖金，或提供银行账号通过转账方式领取。逾期未领取奖金者，视为放弃领奖权利；能够说明合理理由的，可以延长30个工作日领取奖金；举报人主动要求放弃奖励的，终止奖励程序。征得举报人同意后，可给予褒扬激励。</w:t>
      </w:r>
    </w:p>
    <w:p>
      <w:pPr>
        <w:rPr>
          <w:rFonts w:hint="eastAsia"/>
        </w:rPr>
      </w:pPr>
      <w:r>
        <w:rPr>
          <w:rFonts w:hint="eastAsia"/>
        </w:rPr>
        <w:t>举报人所得奖金无需缴纳个人所得税。</w:t>
      </w:r>
    </w:p>
    <w:p>
      <w:pPr>
        <w:rPr>
          <w:rFonts w:hint="eastAsia"/>
        </w:rPr>
      </w:pPr>
      <w:r>
        <w:rPr>
          <w:rFonts w:hint="eastAsia" w:ascii="楷体_GB2312" w:hAnsi="楷体_GB2312" w:eastAsia="楷体_GB2312"/>
          <w:b/>
        </w:rPr>
        <w:t>第十九条</w:t>
      </w:r>
      <w:r>
        <w:rPr>
          <w:rFonts w:hint="eastAsia"/>
        </w:rPr>
        <w:t xml:space="preserve"> </w:t>
      </w:r>
      <w:r>
        <w:rPr>
          <w:rFonts w:hint="eastAsia" w:ascii="仿宋_GB2312" w:eastAsia="仿宋_GB2312"/>
          <w:lang w:val="en-US" w:eastAsia="zh-CN"/>
        </w:rPr>
        <w:t xml:space="preserve"> </w:t>
      </w:r>
      <w:r>
        <w:rPr>
          <w:rFonts w:hint="eastAsia"/>
        </w:rPr>
        <w:t>奖金的具体数额由负责核查处理举报事项的各级负有安全生产监督管理职责的部门根据具体情况确定，举报奖金应当一次性发放。奖金使用发放情况应定期报送上级部门。</w:t>
      </w:r>
    </w:p>
    <w:p>
      <w:pPr>
        <w:keepNext w:val="0"/>
        <w:keepLines w:val="0"/>
        <w:widowControl w:val="0"/>
        <w:bidi w:val="0"/>
        <w:adjustRightInd w:val="0"/>
        <w:snapToGrid w:val="0"/>
        <w:spacing w:before="50" w:beforeLines="50" w:beforeAutospacing="0" w:after="50" w:afterLines="50" w:afterAutospacing="0" w:line="600" w:lineRule="exact"/>
        <w:ind w:firstLine="0" w:firstLineChars="0"/>
        <w:jc w:val="center"/>
        <w:outlineLvl w:val="1"/>
        <w:rPr>
          <w:rFonts w:hint="eastAsia" w:ascii="黑体" w:hAnsi="黑体" w:eastAsia="黑体" w:cstheme="minorBidi"/>
          <w:kern w:val="2"/>
          <w:sz w:val="32"/>
          <w:szCs w:val="22"/>
          <w:lang w:val="en-US" w:eastAsia="zh-CN" w:bidi="ar-SA"/>
        </w:rPr>
      </w:pPr>
      <w:r>
        <w:rPr>
          <w:rFonts w:hint="eastAsia" w:ascii="黑体" w:hAnsi="黑体" w:eastAsia="黑体" w:cstheme="minorBidi"/>
          <w:kern w:val="2"/>
          <w:sz w:val="32"/>
          <w:szCs w:val="22"/>
          <w:lang w:val="en-US" w:eastAsia="zh-CN" w:bidi="ar-SA"/>
        </w:rPr>
        <w:t>第四章  监督管理</w:t>
      </w:r>
    </w:p>
    <w:p>
      <w:pPr>
        <w:rPr>
          <w:rFonts w:hint="eastAsia"/>
        </w:rPr>
      </w:pPr>
      <w:r>
        <w:rPr>
          <w:rFonts w:hint="eastAsia" w:ascii="楷体_GB2312" w:hAnsi="楷体_GB2312" w:eastAsia="楷体_GB2312"/>
          <w:b/>
        </w:rPr>
        <w:t>第二十条</w:t>
      </w:r>
      <w:r>
        <w:rPr>
          <w:rFonts w:hint="eastAsia" w:ascii="仿宋_GB2312" w:eastAsia="仿宋_GB2312"/>
          <w:lang w:val="en-US" w:eastAsia="zh-CN"/>
        </w:rPr>
        <w:t xml:space="preserve"> </w:t>
      </w:r>
      <w:r>
        <w:rPr>
          <w:rFonts w:hint="eastAsia"/>
        </w:rPr>
        <w:t xml:space="preserve"> 县级以上安委会应当将安全生产重大事故隐患和违法行为的举报奖励工作纳入安全生产责任制考核。</w:t>
      </w:r>
    </w:p>
    <w:p>
      <w:pPr>
        <w:rPr>
          <w:rFonts w:hint="eastAsia"/>
        </w:rPr>
      </w:pPr>
      <w:r>
        <w:rPr>
          <w:rFonts w:hint="eastAsia" w:ascii="楷体_GB2312" w:hAnsi="楷体_GB2312" w:eastAsia="楷体_GB2312"/>
          <w:b/>
        </w:rPr>
        <w:t>第二十一条</w:t>
      </w:r>
      <w:r>
        <w:rPr>
          <w:rFonts w:hint="eastAsia"/>
        </w:rPr>
        <w:t xml:space="preserve"> </w:t>
      </w:r>
      <w:r>
        <w:rPr>
          <w:rFonts w:hint="eastAsia" w:ascii="仿宋_GB2312" w:eastAsia="仿宋_GB2312"/>
          <w:lang w:val="en-US" w:eastAsia="zh-CN"/>
        </w:rPr>
        <w:t xml:space="preserve"> </w:t>
      </w:r>
      <w:r>
        <w:rPr>
          <w:rFonts w:hint="eastAsia"/>
        </w:rPr>
        <w:t>各级负有安全生产监督管理职责的部门应当建立和完善安全生产重大事故隐患和违法行为举报的受理、核查、处理、协调、督办、移送、答复、奖励、统计和报告等相关制度，并建立举报事项档案资料和</w:t>
      </w:r>
      <w:r>
        <w:rPr>
          <w:rFonts w:hint="eastAsia"/>
          <w:lang w:eastAsia="zh-CN"/>
        </w:rPr>
        <w:t>台账</w:t>
      </w:r>
      <w:r>
        <w:rPr>
          <w:rFonts w:hint="eastAsia"/>
        </w:rPr>
        <w:t>，及时归档，留存备查。</w:t>
      </w:r>
    </w:p>
    <w:p>
      <w:pPr>
        <w:rPr>
          <w:rFonts w:hint="eastAsia"/>
        </w:rPr>
      </w:pPr>
      <w:r>
        <w:rPr>
          <w:rFonts w:hint="eastAsia" w:ascii="楷体_GB2312" w:hAnsi="楷体_GB2312" w:eastAsia="楷体_GB2312"/>
          <w:b/>
        </w:rPr>
        <w:t>第二十二条</w:t>
      </w:r>
      <w:r>
        <w:rPr>
          <w:rFonts w:hint="eastAsia" w:ascii="仿宋_GB2312" w:eastAsia="仿宋_GB2312"/>
          <w:lang w:val="en-US" w:eastAsia="zh-CN"/>
        </w:rPr>
        <w:t xml:space="preserve"> </w:t>
      </w:r>
      <w:r>
        <w:rPr>
          <w:rFonts w:hint="eastAsia"/>
        </w:rPr>
        <w:t xml:space="preserve"> 安全生产重大事故隐患和违法行为的举报奖励资金纳入同级财政预算，专款专用，接受财政、审计等部门的监督检查，自觉接受纪检监察机关专责监督。</w:t>
      </w:r>
    </w:p>
    <w:p>
      <w:pPr>
        <w:rPr>
          <w:rFonts w:hint="eastAsia"/>
        </w:rPr>
      </w:pPr>
      <w:r>
        <w:rPr>
          <w:rFonts w:hint="eastAsia" w:ascii="楷体_GB2312" w:hAnsi="楷体_GB2312" w:eastAsia="楷体_GB2312"/>
          <w:b/>
        </w:rPr>
        <w:t>第二十三条</w:t>
      </w:r>
      <w:r>
        <w:rPr>
          <w:rFonts w:hint="eastAsia" w:ascii="仿宋_GB2312" w:eastAsia="仿宋_GB2312"/>
          <w:lang w:val="en-US" w:eastAsia="zh-CN"/>
        </w:rPr>
        <w:t xml:space="preserve"> </w:t>
      </w:r>
      <w:r>
        <w:rPr>
          <w:rFonts w:hint="eastAsia"/>
        </w:rPr>
        <w:t xml:space="preserve"> 举报人举报的事项应当客观真实，不得捏造、歪曲事实，不得诬告、陷害他人和单位；否则，一经查实，依法追究举报人的法律责任。</w:t>
      </w:r>
    </w:p>
    <w:p>
      <w:pPr>
        <w:rPr>
          <w:rFonts w:hint="eastAsia"/>
        </w:rPr>
      </w:pPr>
      <w:r>
        <w:rPr>
          <w:rFonts w:hint="eastAsia" w:ascii="楷体_GB2312" w:hAnsi="楷体_GB2312" w:eastAsia="楷体_GB2312"/>
          <w:b/>
        </w:rPr>
        <w:t>第二十四条</w:t>
      </w:r>
      <w:r>
        <w:rPr>
          <w:rFonts w:hint="eastAsia"/>
        </w:rPr>
        <w:t xml:space="preserve"> </w:t>
      </w:r>
      <w:r>
        <w:rPr>
          <w:rFonts w:hint="eastAsia" w:ascii="仿宋_GB2312" w:eastAsia="仿宋_GB2312"/>
          <w:lang w:val="en-US" w:eastAsia="zh-CN"/>
        </w:rPr>
        <w:t xml:space="preserve"> </w:t>
      </w:r>
      <w:r>
        <w:rPr>
          <w:rFonts w:hint="eastAsia"/>
        </w:rPr>
        <w:t>国家机关及其工作人员在处理举报事项过程中有下列情形之一的，依法依规追究责任：</w:t>
      </w:r>
    </w:p>
    <w:p>
      <w:pPr>
        <w:rPr>
          <w:rFonts w:hint="eastAsia"/>
        </w:rPr>
      </w:pPr>
      <w:r>
        <w:rPr>
          <w:rFonts w:hint="eastAsia"/>
        </w:rPr>
        <w:t>（一）对属于其法定职权范围的举报事项不予受理的；</w:t>
      </w:r>
    </w:p>
    <w:p>
      <w:pPr>
        <w:rPr>
          <w:rFonts w:hint="eastAsia"/>
        </w:rPr>
      </w:pPr>
      <w:r>
        <w:rPr>
          <w:rFonts w:hint="eastAsia"/>
        </w:rPr>
        <w:t>（二）对应当登记、交办、移交而未按规定登记、交办、移交的；</w:t>
      </w:r>
    </w:p>
    <w:p>
      <w:pPr>
        <w:rPr>
          <w:rFonts w:hint="eastAsia"/>
        </w:rPr>
      </w:pPr>
      <w:r>
        <w:rPr>
          <w:rFonts w:hint="eastAsia"/>
        </w:rPr>
        <w:t>（三）推诿、敷衍、拖延举报核查事项办理，未在规定期限内办结举报事项或者依法答复举报人，以及未按规定及时给予奖励的；</w:t>
      </w:r>
    </w:p>
    <w:p>
      <w:pPr>
        <w:rPr>
          <w:rFonts w:hint="eastAsia"/>
        </w:rPr>
      </w:pPr>
      <w:r>
        <w:rPr>
          <w:rFonts w:hint="eastAsia"/>
        </w:rPr>
        <w:t>（四）未及时履行督导督办职责的；</w:t>
      </w:r>
    </w:p>
    <w:p>
      <w:pPr>
        <w:rPr>
          <w:rFonts w:hint="eastAsia"/>
        </w:rPr>
      </w:pPr>
      <w:r>
        <w:rPr>
          <w:rFonts w:hint="eastAsia"/>
        </w:rPr>
        <w:t>（五）违反保密规定，泄露工作秘密，或将有关举报材料、举报内容、举报人信息、奖励情况等透露或者转交给被举报单位或者被举报对象的。</w:t>
      </w:r>
    </w:p>
    <w:p>
      <w:pPr>
        <w:keepNext w:val="0"/>
        <w:keepLines w:val="0"/>
        <w:widowControl w:val="0"/>
        <w:bidi w:val="0"/>
        <w:adjustRightInd w:val="0"/>
        <w:snapToGrid w:val="0"/>
        <w:spacing w:before="50" w:beforeLines="50" w:beforeAutospacing="0" w:after="50" w:afterLines="50" w:afterAutospacing="0" w:line="600" w:lineRule="exact"/>
        <w:ind w:firstLine="0" w:firstLineChars="0"/>
        <w:jc w:val="center"/>
        <w:outlineLvl w:val="1"/>
        <w:rPr>
          <w:rFonts w:hint="eastAsia" w:ascii="黑体" w:hAnsi="黑体" w:eastAsia="黑体" w:cstheme="minorBidi"/>
          <w:kern w:val="2"/>
          <w:sz w:val="32"/>
          <w:szCs w:val="22"/>
          <w:lang w:val="en-US" w:eastAsia="zh-CN" w:bidi="ar-SA"/>
        </w:rPr>
      </w:pPr>
      <w:r>
        <w:rPr>
          <w:rFonts w:hint="eastAsia" w:ascii="黑体" w:hAnsi="黑体" w:eastAsia="黑体" w:cstheme="minorBidi"/>
          <w:kern w:val="2"/>
          <w:sz w:val="32"/>
          <w:szCs w:val="22"/>
          <w:lang w:val="en-US" w:eastAsia="zh-CN" w:bidi="ar-SA"/>
        </w:rPr>
        <w:t>第五章  附则</w:t>
      </w:r>
    </w:p>
    <w:p>
      <w:pPr>
        <w:rPr>
          <w:rFonts w:hint="eastAsia"/>
        </w:rPr>
      </w:pPr>
      <w:r>
        <w:rPr>
          <w:rFonts w:hint="eastAsia" w:ascii="楷体_GB2312" w:hAnsi="楷体_GB2312" w:eastAsia="楷体_GB2312"/>
          <w:b/>
        </w:rPr>
        <w:t>第二十五条</w:t>
      </w:r>
      <w:r>
        <w:rPr>
          <w:rFonts w:hint="eastAsia"/>
        </w:rPr>
        <w:t xml:space="preserve">  本办法所称的实名举报，是指举报人提供真实姓名和真实有效联系方式的举报行为。</w:t>
      </w:r>
    </w:p>
    <w:p>
      <w:pPr>
        <w:rPr>
          <w:rFonts w:hint="eastAsia"/>
        </w:rPr>
      </w:pPr>
      <w:r>
        <w:rPr>
          <w:rFonts w:hint="eastAsia" w:ascii="楷体_GB2312" w:hAnsi="楷体_GB2312" w:eastAsia="楷体_GB2312"/>
          <w:b/>
        </w:rPr>
        <w:t>第二十六条</w:t>
      </w:r>
      <w:r>
        <w:rPr>
          <w:rFonts w:hint="eastAsia"/>
        </w:rPr>
        <w:t xml:space="preserve"> </w:t>
      </w:r>
      <w:r>
        <w:rPr>
          <w:rFonts w:hint="eastAsia" w:ascii="仿宋_GB2312" w:eastAsia="仿宋_GB2312"/>
          <w:lang w:val="en-US" w:eastAsia="zh-CN"/>
        </w:rPr>
        <w:t xml:space="preserve"> </w:t>
      </w:r>
      <w:r>
        <w:rPr>
          <w:rFonts w:hint="eastAsia"/>
        </w:rPr>
        <w:t>各负有安全生产监督管理职责的部门另有相关行业举报奖励规定的按其规定执行。</w:t>
      </w:r>
    </w:p>
    <w:p>
      <w:pPr>
        <w:rPr>
          <w:rFonts w:hint="eastAsia"/>
        </w:rPr>
      </w:pPr>
      <w:r>
        <w:rPr>
          <w:rFonts w:hint="eastAsia" w:ascii="楷体_GB2312" w:hAnsi="楷体_GB2312" w:eastAsia="楷体_GB2312"/>
          <w:b/>
        </w:rPr>
        <w:t>第二十七条</w:t>
      </w:r>
      <w:r>
        <w:rPr>
          <w:rFonts w:hint="eastAsia"/>
        </w:rPr>
        <w:t xml:space="preserve"> </w:t>
      </w:r>
      <w:r>
        <w:rPr>
          <w:rFonts w:hint="eastAsia" w:ascii="仿宋_GB2312" w:eastAsia="仿宋_GB2312"/>
          <w:lang w:val="en-US" w:eastAsia="zh-CN"/>
        </w:rPr>
        <w:t xml:space="preserve"> </w:t>
      </w:r>
      <w:r>
        <w:rPr>
          <w:rFonts w:hint="eastAsia"/>
        </w:rPr>
        <w:t>本办法由市安委办和市财政局负责解释。</w:t>
      </w:r>
    </w:p>
    <w:p>
      <w:pPr>
        <w:rPr>
          <w:rFonts w:hint="eastAsia"/>
        </w:rPr>
      </w:pPr>
      <w:r>
        <w:rPr>
          <w:rFonts w:hint="eastAsia" w:ascii="楷体_GB2312" w:hAnsi="楷体_GB2312" w:eastAsia="楷体_GB2312"/>
          <w:b/>
        </w:rPr>
        <w:t>第二十八条</w:t>
      </w:r>
      <w:r>
        <w:rPr>
          <w:rFonts w:hint="eastAsia"/>
        </w:rPr>
        <w:t xml:space="preserve"> </w:t>
      </w:r>
      <w:r>
        <w:rPr>
          <w:rFonts w:hint="eastAsia" w:ascii="仿宋_GB2312" w:eastAsia="仿宋_GB2312"/>
          <w:lang w:val="en-US" w:eastAsia="zh-CN"/>
        </w:rPr>
        <w:t xml:space="preserve"> </w:t>
      </w:r>
      <w:r>
        <w:rPr>
          <w:rFonts w:hint="eastAsia"/>
        </w:rPr>
        <w:t>本办法自印发之日起施行。《台州市安全生产领域举报奖励办法》（台安监管〔2018〕41号）同时废止。</w:t>
      </w:r>
    </w:p>
    <w:tbl>
      <w:tblPr>
        <w:tblStyle w:val="11"/>
        <w:tblpPr w:leftFromText="181" w:rightFromText="181" w:tblpXSpec="left" w:tblpYSpec="bottom"/>
        <w:tblOverlap w:val="never"/>
        <w:tblW w:w="5000" w:type="pct"/>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52" w:hRule="atLeast"/>
        </w:trPr>
        <w:tc>
          <w:tcPr>
            <w:tcW w:w="5000" w:type="pct"/>
            <w:noWrap w:val="0"/>
            <w:vAlign w:val="center"/>
          </w:tcPr>
          <w:p>
            <w:pPr>
              <w:adjustRightInd/>
              <w:snapToGrid/>
              <w:spacing w:line="240" w:lineRule="auto"/>
              <w:ind w:firstLine="0" w:firstLineChars="0"/>
              <w:rPr>
                <w:rFonts w:hint="eastAsia" w:ascii="Calibri" w:hAnsi="Calibri" w:eastAsia="仿宋_GB2312" w:cs="Times New Roman"/>
                <w:sz w:val="28"/>
                <w:szCs w:val="28"/>
              </w:rPr>
            </w:pPr>
            <w:r>
              <w:rPr>
                <w:rFonts w:hint="eastAsia" w:ascii="Calibri" w:hAnsi="Calibri" w:eastAsia="仿宋_GB2312" w:cs="Times New Roman"/>
                <w:sz w:val="28"/>
                <w:szCs w:val="28"/>
              </w:rPr>
              <w:t xml:space="preserve">台州市安全生产委员会办公室             </w:t>
            </w:r>
            <w:r>
              <w:rPr>
                <w:rFonts w:hint="eastAsia" w:ascii="Calibri" w:hAnsi="Calibri" w:cs="Times New Roman"/>
                <w:sz w:val="28"/>
                <w:szCs w:val="28"/>
                <w:lang w:val="en-US" w:eastAsia="zh-CN"/>
              </w:rPr>
              <w:t xml:space="preserve"> </w:t>
            </w:r>
            <w:r>
              <w:rPr>
                <w:rFonts w:hint="default" w:ascii="Calibri" w:hAnsi="Calibri" w:eastAsia="仿宋_GB2312" w:cs="Times New Roman"/>
                <w:sz w:val="28"/>
                <w:szCs w:val="28"/>
                <w:lang w:val="en"/>
              </w:rPr>
              <w:t xml:space="preserve">   </w:t>
            </w:r>
            <w:r>
              <w:rPr>
                <w:rFonts w:hint="eastAsia" w:ascii="Calibri" w:hAnsi="Calibri" w:eastAsia="仿宋_GB2312" w:cs="Times New Roman"/>
                <w:sz w:val="28"/>
                <w:szCs w:val="28"/>
              </w:rPr>
              <w:t xml:space="preserve">  </w:t>
            </w:r>
            <w:r>
              <w:rPr>
                <w:rFonts w:hint="eastAsia" w:ascii="仿宋_GB2312" w:hAnsi="Calibri" w:eastAsia="仿宋_GB2312" w:cs="Times New Roman"/>
                <w:sz w:val="28"/>
                <w:szCs w:val="28"/>
              </w:rPr>
              <w:t>202</w:t>
            </w:r>
            <w:r>
              <w:rPr>
                <w:rFonts w:hint="eastAsia" w:ascii="仿宋_GB2312" w:hAnsi="Calibri" w:eastAsia="仿宋_GB2312" w:cs="Times New Roman"/>
                <w:sz w:val="28"/>
                <w:szCs w:val="28"/>
                <w:lang w:val="en-US" w:eastAsia="zh-CN"/>
              </w:rPr>
              <w:t>2</w:t>
            </w:r>
            <w:r>
              <w:rPr>
                <w:rFonts w:hint="eastAsia" w:ascii="仿宋_GB2312" w:hAnsi="Calibri" w:eastAsia="仿宋_GB2312" w:cs="Times New Roman"/>
                <w:sz w:val="28"/>
                <w:szCs w:val="28"/>
              </w:rPr>
              <w:t>年</w:t>
            </w:r>
            <w:r>
              <w:rPr>
                <w:rFonts w:hint="eastAsia" w:hAnsi="Calibri" w:cs="Times New Roman"/>
                <w:sz w:val="28"/>
                <w:szCs w:val="28"/>
                <w:lang w:val="en-US" w:eastAsia="zh-CN"/>
              </w:rPr>
              <w:t>4</w:t>
            </w:r>
            <w:r>
              <w:rPr>
                <w:rFonts w:hint="eastAsia" w:ascii="仿宋_GB2312" w:hAnsi="Calibri" w:eastAsia="仿宋_GB2312" w:cs="Times New Roman"/>
                <w:sz w:val="28"/>
                <w:szCs w:val="28"/>
              </w:rPr>
              <w:t>月</w:t>
            </w:r>
            <w:r>
              <w:rPr>
                <w:rFonts w:hint="eastAsia" w:hAnsi="Calibri" w:cs="Times New Roman"/>
                <w:sz w:val="28"/>
                <w:szCs w:val="28"/>
                <w:lang w:val="en-US" w:eastAsia="zh-CN"/>
              </w:rPr>
              <w:t>2</w:t>
            </w:r>
            <w:r>
              <w:rPr>
                <w:rFonts w:hint="eastAsia" w:ascii="仿宋_GB2312" w:hAnsi="Calibri" w:eastAsia="仿宋_GB2312" w:cs="Times New Roman"/>
                <w:sz w:val="28"/>
                <w:szCs w:val="28"/>
              </w:rPr>
              <w:t>日印</w:t>
            </w:r>
            <w:r>
              <w:rPr>
                <w:rFonts w:hint="eastAsia" w:ascii="Calibri" w:hAnsi="Calibri" w:eastAsia="仿宋_GB2312" w:cs="Times New Roman"/>
                <w:sz w:val="28"/>
                <w:szCs w:val="28"/>
              </w:rPr>
              <w:t>发</w:t>
            </w:r>
          </w:p>
        </w:tc>
      </w:tr>
    </w:tbl>
    <w:p>
      <w:pPr>
        <w:wordWrap/>
        <w:bidi w:val="0"/>
        <w:ind w:left="0" w:leftChars="0" w:firstLine="0" w:firstLineChars="0"/>
        <w:jc w:val="both"/>
        <w:rPr>
          <w:rFonts w:hint="default"/>
          <w:lang w:val="en-US" w:eastAsia="zh-CN"/>
        </w:rPr>
      </w:pPr>
    </w:p>
    <w:sectPr>
      <w:footerReference r:id="rId6" w:type="default"/>
      <w:pgSz w:w="11906" w:h="16838"/>
      <w:pgMar w:top="1701" w:right="1531" w:bottom="1701" w:left="1531" w:header="851" w:footer="964" w:gutter="0"/>
      <w:pgNumType w:fmt="decimal"/>
      <w:cols w:space="0" w:num="1"/>
      <w:rtlGutter w:val="0"/>
      <w:docGrid w:type="linesAndChars" w:linePitch="602"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C23BC"/>
    <w:rsid w:val="0571302A"/>
    <w:rsid w:val="0A9214CB"/>
    <w:rsid w:val="0DB22432"/>
    <w:rsid w:val="1CB02232"/>
    <w:rsid w:val="2DA96289"/>
    <w:rsid w:val="2FF87D20"/>
    <w:rsid w:val="3043FBD0"/>
    <w:rsid w:val="3A2F07E2"/>
    <w:rsid w:val="3FD7C7DC"/>
    <w:rsid w:val="415C36FF"/>
    <w:rsid w:val="44207ED0"/>
    <w:rsid w:val="44983428"/>
    <w:rsid w:val="45E03FB3"/>
    <w:rsid w:val="4F7F481F"/>
    <w:rsid w:val="506B19F1"/>
    <w:rsid w:val="52D613D4"/>
    <w:rsid w:val="532C190B"/>
    <w:rsid w:val="54DC110F"/>
    <w:rsid w:val="55EEAD7D"/>
    <w:rsid w:val="56FE5703"/>
    <w:rsid w:val="57DFF52E"/>
    <w:rsid w:val="5D9AF66A"/>
    <w:rsid w:val="5DC7D140"/>
    <w:rsid w:val="5EDB79A7"/>
    <w:rsid w:val="699658D9"/>
    <w:rsid w:val="6DFD73A3"/>
    <w:rsid w:val="74BA06CD"/>
    <w:rsid w:val="757D5ECF"/>
    <w:rsid w:val="7637F8DA"/>
    <w:rsid w:val="76B7ED49"/>
    <w:rsid w:val="79980F0B"/>
    <w:rsid w:val="79AA71EE"/>
    <w:rsid w:val="7ABD165D"/>
    <w:rsid w:val="7BFB18E7"/>
    <w:rsid w:val="7EBB97BF"/>
    <w:rsid w:val="7FCE8004"/>
    <w:rsid w:val="7FF71AD8"/>
    <w:rsid w:val="7FFC6F4D"/>
    <w:rsid w:val="ABDF2391"/>
    <w:rsid w:val="B6FFEEEF"/>
    <w:rsid w:val="BBBD1C51"/>
    <w:rsid w:val="BD435401"/>
    <w:rsid w:val="BDFF339B"/>
    <w:rsid w:val="D53F7BEC"/>
    <w:rsid w:val="DBBC23BC"/>
    <w:rsid w:val="DFE7342D"/>
    <w:rsid w:val="EF7B6E82"/>
    <w:rsid w:val="EFFFAC0E"/>
    <w:rsid w:val="F1BDED49"/>
    <w:rsid w:val="F1EA91C8"/>
    <w:rsid w:val="F1FBD026"/>
    <w:rsid w:val="F75162E8"/>
    <w:rsid w:val="F76BA403"/>
    <w:rsid w:val="FBFE974A"/>
    <w:rsid w:val="FDC35B0F"/>
    <w:rsid w:val="FDECCB7D"/>
    <w:rsid w:val="FFFFE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404" w:firstLineChars="200"/>
      <w:jc w:val="both"/>
    </w:pPr>
    <w:rPr>
      <w:rFonts w:ascii="仿宋_GB2312" w:hAnsi="仿宋_GB2312" w:eastAsia="仿宋_GB2312" w:cstheme="minorBidi"/>
      <w:kern w:val="2"/>
      <w:sz w:val="32"/>
      <w:szCs w:val="22"/>
      <w:lang w:val="en-US" w:eastAsia="zh-CN" w:bidi="ar-SA"/>
    </w:rPr>
  </w:style>
  <w:style w:type="paragraph" w:styleId="5">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方正小标宋简体" w:hAnsi="方正小标宋简体" w:eastAsia="方正小标宋简体"/>
      <w:kern w:val="44"/>
      <w:sz w:val="44"/>
    </w:rPr>
  </w:style>
  <w:style w:type="paragraph" w:styleId="6">
    <w:name w:val="heading 2"/>
    <w:basedOn w:val="1"/>
    <w:next w:val="1"/>
    <w:link w:val="16"/>
    <w:semiHidden/>
    <w:unhideWhenUsed/>
    <w:qFormat/>
    <w:uiPriority w:val="0"/>
    <w:pPr>
      <w:keepNext w:val="0"/>
      <w:keepLines w:val="0"/>
      <w:spacing w:beforeLines="0" w:beforeAutospacing="0" w:afterLines="0" w:afterAutospacing="0" w:line="600" w:lineRule="exact"/>
      <w:ind w:firstLine="880" w:firstLineChars="200"/>
      <w:outlineLvl w:val="1"/>
    </w:pPr>
    <w:rPr>
      <w:rFonts w:ascii="黑体" w:hAnsi="黑体" w:eastAsia="黑体"/>
    </w:rPr>
  </w:style>
  <w:style w:type="paragraph" w:styleId="7">
    <w:name w:val="heading 3"/>
    <w:basedOn w:val="1"/>
    <w:next w:val="1"/>
    <w:link w:val="19"/>
    <w:semiHidden/>
    <w:unhideWhenUsed/>
    <w:qFormat/>
    <w:uiPriority w:val="0"/>
    <w:pPr>
      <w:keepNext w:val="0"/>
      <w:keepLines w:val="0"/>
      <w:spacing w:beforeLines="0" w:beforeAutospacing="0" w:afterLines="0" w:afterAutospacing="0" w:line="600" w:lineRule="exact"/>
      <w:ind w:firstLine="880" w:firstLineChars="200"/>
      <w:outlineLvl w:val="2"/>
    </w:pPr>
    <w:rPr>
      <w:rFonts w:ascii="楷体_GB2312" w:hAnsi="楷体_GB2312" w:eastAsia="楷体_GB2312"/>
      <w:b/>
    </w:rPr>
  </w:style>
  <w:style w:type="paragraph" w:styleId="8">
    <w:name w:val="heading 5"/>
    <w:basedOn w:val="1"/>
    <w:next w:val="1"/>
    <w:qFormat/>
    <w:uiPriority w:val="0"/>
    <w:pPr>
      <w:keepNext/>
      <w:keepLines/>
      <w:spacing w:before="280" w:beforeLines="0" w:after="290" w:afterLines="0" w:line="376" w:lineRule="auto"/>
      <w:outlineLvl w:val="4"/>
    </w:pPr>
    <w:rPr>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next w:val="4"/>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4">
    <w:name w:val="Normal Indent"/>
    <w:basedOn w:val="1"/>
    <w:qFormat/>
    <w:uiPriority w:val="0"/>
    <w:pPr>
      <w:widowControl w:val="0"/>
      <w:ind w:firstLine="420" w:firstLineChars="200"/>
      <w:jc w:val="both"/>
    </w:pPr>
    <w:rPr>
      <w:rFonts w:ascii="Calibri" w:hAnsi="Calibri" w:eastAsia="仿宋" w:cs="Times New Roman"/>
      <w:kern w:val="2"/>
      <w:sz w:val="21"/>
      <w:szCs w:val="24"/>
      <w:lang w:val="en-US" w:eastAsia="zh-CN" w:bidi="ar-SA"/>
    </w:rPr>
  </w:style>
  <w:style w:type="paragraph" w:styleId="9">
    <w:name w:val="footer"/>
    <w:basedOn w:val="1"/>
    <w:qFormat/>
    <w:uiPriority w:val="0"/>
    <w:pPr>
      <w:tabs>
        <w:tab w:val="center" w:pos="4153"/>
        <w:tab w:val="right" w:pos="8306"/>
      </w:tabs>
      <w:snapToGrid w:val="0"/>
      <w:spacing w:line="240" w:lineRule="auto"/>
      <w:ind w:firstLine="0" w:firstLineChars="0"/>
      <w:jc w:val="left"/>
    </w:pPr>
    <w:rPr>
      <w:sz w:val="24"/>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
    <w:basedOn w:val="1"/>
    <w:qFormat/>
    <w:uiPriority w:val="0"/>
    <w:pPr>
      <w:spacing w:line="320" w:lineRule="exact"/>
      <w:ind w:firstLine="0" w:firstLineChars="0"/>
    </w:pPr>
    <w:rPr>
      <w:rFonts w:ascii="仿宋_GB2312" w:hAnsi="仿宋_GB2312" w:eastAsia="仿宋_GB2312"/>
      <w:sz w:val="24"/>
    </w:rPr>
  </w:style>
  <w:style w:type="paragraph" w:customStyle="1" w:styleId="15">
    <w:name w:val="表格4"/>
    <w:basedOn w:val="1"/>
    <w:qFormat/>
    <w:uiPriority w:val="0"/>
    <w:pPr>
      <w:spacing w:line="400" w:lineRule="exact"/>
      <w:ind w:firstLine="0" w:firstLineChars="0"/>
      <w:jc w:val="center"/>
    </w:pPr>
    <w:rPr>
      <w:sz w:val="28"/>
      <w:szCs w:val="28"/>
    </w:rPr>
  </w:style>
  <w:style w:type="character" w:customStyle="1" w:styleId="16">
    <w:name w:val="标题 2 Char"/>
    <w:link w:val="6"/>
    <w:qFormat/>
    <w:uiPriority w:val="0"/>
    <w:rPr>
      <w:rFonts w:ascii="黑体" w:hAnsi="黑体" w:eastAsia="黑体"/>
    </w:rPr>
  </w:style>
  <w:style w:type="paragraph" w:customStyle="1" w:styleId="17">
    <w:name w:val="落款"/>
    <w:basedOn w:val="1"/>
    <w:qFormat/>
    <w:uiPriority w:val="0"/>
    <w:pPr>
      <w:ind w:firstLine="0" w:firstLineChars="0"/>
      <w:jc w:val="center"/>
    </w:pPr>
    <w:rPr>
      <w:rFonts w:ascii="楷体_GB2312" w:hAnsi="楷体_GB2312" w:eastAsia="楷体_GB2312"/>
      <w:szCs w:val="32"/>
    </w:rPr>
  </w:style>
  <w:style w:type="paragraph" w:customStyle="1" w:styleId="18">
    <w:name w:val="Char"/>
    <w:basedOn w:val="8"/>
    <w:qFormat/>
    <w:uiPriority w:val="0"/>
    <w:pPr>
      <w:widowControl/>
      <w:tabs>
        <w:tab w:val="left" w:pos="1008"/>
      </w:tabs>
      <w:spacing w:after="160" w:afterLines="0" w:line="240" w:lineRule="exact"/>
      <w:ind w:left="1008" w:hanging="1008"/>
      <w:jc w:val="left"/>
    </w:pPr>
  </w:style>
  <w:style w:type="character" w:customStyle="1" w:styleId="19">
    <w:name w:val="标题 3 Char"/>
    <w:link w:val="7"/>
    <w:qFormat/>
    <w:uiPriority w:val="0"/>
    <w:rPr>
      <w:rFonts w:ascii="楷体_GB2312" w:hAnsi="楷体_GB2312" w:eastAsia="楷体_GB2312"/>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3366</Words>
  <Characters>3385</Characters>
  <Lines>0</Lines>
  <Paragraphs>0</Paragraphs>
  <TotalTime>0</TotalTime>
  <ScaleCrop>false</ScaleCrop>
  <LinksUpToDate>false</LinksUpToDate>
  <CharactersWithSpaces>3483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2022-04-04T08:44:00Z</dcterms:created>
  <dc:creator>administrator</dc:creator>
  <cp:lastModifiedBy>TiAmo</cp:lastModifiedBy>
  <cp:lastPrinted>2022-04-03T11:44:00Z</cp:lastPrinted>
  <dcterms:modified xsi:type="dcterms:W3CDTF">2022-07-17T22:44:55Z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87E948B8D1D046048A7F1FBF3DBAC27D</vt:lpwstr>
  </property>
</Properties>
</file>