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val="0"/>
        <w:snapToGrid w:val="0"/>
        <w:spacing w:line="240" w:lineRule="auto"/>
        <w:ind w:left="154" w:leftChars="50" w:right="154" w:rightChars="50" w:firstLine="0" w:firstLineChars="0"/>
        <w:jc w:val="distribute"/>
        <w:textAlignment w:val="auto"/>
        <w:rPr>
          <w:rFonts w:hint="eastAsia" w:ascii="方正小标宋简体" w:eastAsia="方正小标宋简体" w:cs="Times New Roman"/>
          <w:color w:val="FF0000"/>
          <w:spacing w:val="0"/>
          <w:kern w:val="0"/>
          <w:sz w:val="86"/>
          <w:szCs w:val="86"/>
        </w:rPr>
      </w:pPr>
      <w:bookmarkStart w:id="0" w:name="台州市应急管理局便笺"/>
      <w:r>
        <w:rPr>
          <w:rFonts w:cs="Times New Roman"/>
          <w:color w:val="FFFFFF" w:themeColor="background1"/>
          <w:spacing w:val="0"/>
          <w:kern w:val="0"/>
          <w:sz w:val="22"/>
          <w:szCs w:val="22"/>
          <w14:textFill>
            <w14:solidFill>
              <w14:schemeClr w14:val="bg1"/>
            </w14:solidFill>
          </w14:textFill>
        </w:rPr>
        <mc:AlternateContent>
          <mc:Choice Requires="wpg">
            <w:drawing>
              <wp:anchor distT="0" distB="0" distL="114300" distR="114300" simplePos="0" relativeHeight="251660288" behindDoc="0" locked="0" layoutInCell="1" allowOverlap="1">
                <wp:simplePos x="0" y="0"/>
                <wp:positionH relativeFrom="column">
                  <wp:posOffset>7381875</wp:posOffset>
                </wp:positionH>
                <wp:positionV relativeFrom="paragraph">
                  <wp:posOffset>592455</wp:posOffset>
                </wp:positionV>
                <wp:extent cx="5615940" cy="60960"/>
                <wp:effectExtent l="0" t="13970" r="3810" b="20320"/>
                <wp:wrapNone/>
                <wp:docPr id="3" name="组合 3"/>
                <wp:cNvGraphicFramePr/>
                <a:graphic xmlns:a="http://schemas.openxmlformats.org/drawingml/2006/main">
                  <a:graphicData uri="http://schemas.microsoft.com/office/word/2010/wordprocessingGroup">
                    <wpg:wgp>
                      <wpg:cNvGrpSpPr/>
                      <wpg:grpSpPr>
                        <a:xfrm>
                          <a:off x="0" y="0"/>
                          <a:ext cx="5615940" cy="60960"/>
                          <a:chOff x="6940" y="3232"/>
                          <a:chExt cx="8844" cy="96"/>
                        </a:xfrm>
                      </wpg:grpSpPr>
                      <wps:wsp>
                        <wps:cNvPr id="2" name="直接连接符 2"/>
                        <wps:cNvCnPr/>
                        <wps:spPr>
                          <a:xfrm>
                            <a:off x="6940" y="3232"/>
                            <a:ext cx="8844" cy="0"/>
                          </a:xfrm>
                          <a:prstGeom prst="line">
                            <a:avLst/>
                          </a:prstGeom>
                          <a:ln w="28575" cap="flat" cmpd="sng">
                            <a:solidFill>
                              <a:srgbClr val="FF0000"/>
                            </a:solidFill>
                            <a:prstDash val="solid"/>
                            <a:headEnd type="none" w="med" len="med"/>
                            <a:tailEnd type="none" w="med" len="med"/>
                          </a:ln>
                        </wps:spPr>
                        <wps:bodyPr upright="true"/>
                      </wps:wsp>
                      <wps:wsp>
                        <wps:cNvPr id="1" name="直接连接符 1"/>
                        <wps:cNvCnPr/>
                        <wps:spPr>
                          <a:xfrm>
                            <a:off x="6940" y="3328"/>
                            <a:ext cx="8844" cy="0"/>
                          </a:xfrm>
                          <a:prstGeom prst="line">
                            <a:avLst/>
                          </a:prstGeom>
                          <a:ln w="12700" cap="flat" cmpd="sng">
                            <a:solidFill>
                              <a:srgbClr val="FF0000"/>
                            </a:solidFill>
                            <a:prstDash val="solid"/>
                            <a:headEnd type="none" w="med" len="med"/>
                            <a:tailEnd type="none" w="med" len="med"/>
                          </a:ln>
                        </wps:spPr>
                        <wps:bodyPr upright="true"/>
                      </wps:wsp>
                    </wpg:wgp>
                  </a:graphicData>
                </a:graphic>
              </wp:anchor>
            </w:drawing>
          </mc:Choice>
          <mc:Fallback>
            <w:pict>
              <v:group id="_x0000_s1026" o:spid="_x0000_s1026" o:spt="203" style="position:absolute;left:0pt;margin-left:581.25pt;margin-top:46.65pt;height:4.8pt;width:442.2pt;z-index:251660288;mso-width-relative:page;mso-height-relative:page;" coordorigin="6940,3232" coordsize="8844,96" o:gfxdata="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">
                <o:lock v:ext="edit" aspectratio="f"/>
                <v:line id="_x0000_s1026" o:spid="_x0000_s1026" o:spt="20" style="position:absolute;left:6940;top:3232;height:0;width:8844;" filled="f" stroked="t" coordsize="21600,21600" o:gfxdata="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rq2rzL0AAADaAAAADwAAAAAAAAABACAAAAA4AAAAZHJzL2Rvd25yZXYu&#10;eG1sUEsBAhQAFAAAAAgAh07iQDMvBZ47AAAAOQAAABAAAAAAAAAAAQAgAAAAIgEAAGRycy9zaGFw&#10;ZXhtbC54bWxQSwUGAAAAAAYABgBbAQAAzAMAAAAA&#10;">
                  <v:fill on="f" focussize="0,0"/>
                  <v:stroke weight="2.25pt" color="#FF0000" joinstyle="round"/>
                  <v:imagedata o:title=""/>
                  <o:lock v:ext="edit" aspectratio="f"/>
                </v:line>
                <v:line id="_x0000_s1026" o:spid="_x0000_s1026" o:spt="20" style="position:absolute;left:6940;top:3328;height:0;width:8844;" filled="f" stroked="t" coordsize="21600,21600" o:gfxdata="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MaWxXq7AAAA2gAAAA8AAAAAAAAAAQAgAAAAOAAAAGRycy9kb3ducmV2Lnht&#10;bFBLAQIUABQAAAAIAIdO4kAzLwWeOwAAADkAAAAQAAAAAAAAAAEAIAAAACABAABkcnMvc2hhcGV4&#10;bWwueG1sUEsFBgAAAAAGAAYAWwEAAMoDAAAAAA==&#10;">
                  <v:fill on="f" focussize="0,0"/>
                  <v:stroke weight="1pt" color="#FF0000" joinstyle="round"/>
                  <v:imagedata o:title=""/>
                  <o:lock v:ext="edit" aspectratio="f"/>
                </v:line>
              </v:group>
            </w:pict>
          </mc:Fallback>
        </mc:AlternateContent>
      </w:r>
      <w:r>
        <w:rPr>
          <w:rFonts w:hint="eastAsia" w:ascii="方正小标宋简体" w:eastAsia="方正小标宋简体" w:cs="Times New Roman"/>
          <w:color w:val="FFFFFF" w:themeColor="background1"/>
          <w:spacing w:val="0"/>
          <w:kern w:val="0"/>
          <w:sz w:val="86"/>
          <w:szCs w:val="86"/>
          <w14:textFill>
            <w14:solidFill>
              <w14:schemeClr w14:val="bg1"/>
            </w14:solidFill>
          </w14:textFill>
        </w:rPr>
        <w:t>台州市应急管理局</w:t>
      </w:r>
      <w:bookmarkEnd w:id="0"/>
    </w:p>
    <w:p>
      <w:pPr>
        <w:keepNext w:val="0"/>
        <w:keepLines w:val="0"/>
        <w:pageBreakBefore w:val="0"/>
        <w:widowControl/>
        <w:kinsoku/>
        <w:wordWrap/>
        <w:overflowPunct/>
        <w:topLinePunct w:val="0"/>
        <w:autoSpaceDE/>
        <w:autoSpaceDN/>
        <w:bidi w:val="0"/>
        <w:adjustRightInd w:val="0"/>
        <w:snapToGrid w:val="0"/>
        <w:spacing w:line="200" w:lineRule="exact"/>
        <w:ind w:firstLine="0" w:firstLineChars="0"/>
        <w:jc w:val="center"/>
        <w:textAlignment w:val="auto"/>
        <w:rPr>
          <w:rFonts w:hint="eastAsia" w:ascii="方正小标宋简体" w:eastAsia="方正小标宋简体" w:cs="Times New Roman"/>
          <w:spacing w:val="0"/>
          <w:kern w:val="0"/>
          <w:sz w:val="40"/>
          <w:szCs w:val="40"/>
        </w:rPr>
      </w:pPr>
    </w:p>
    <w:p>
      <w:pPr>
        <w:keepNext w:val="0"/>
        <w:keepLines w:val="0"/>
        <w:pageBreakBefore w:val="0"/>
        <w:widowControl/>
        <w:kinsoku/>
        <w:wordWrap/>
        <w:overflowPunct/>
        <w:topLinePunct w:val="0"/>
        <w:autoSpaceDE/>
        <w:autoSpaceDN/>
        <w:bidi w:val="0"/>
        <w:adjustRightInd w:val="0"/>
        <w:snapToGrid w:val="0"/>
        <w:spacing w:line="200" w:lineRule="exact"/>
        <w:ind w:firstLine="0" w:firstLineChars="0"/>
        <w:jc w:val="center"/>
        <w:textAlignment w:val="auto"/>
        <w:rPr>
          <w:rFonts w:hint="eastAsia" w:ascii="方正小标宋简体" w:eastAsia="方正小标宋简体" w:cs="Times New Roman"/>
          <w:spacing w:val="0"/>
          <w:kern w:val="0"/>
          <w:sz w:val="40"/>
          <w:szCs w:val="40"/>
        </w:rPr>
      </w:pPr>
    </w:p>
    <w:p>
      <w:pPr>
        <w:keepNext w:val="0"/>
        <w:keepLines w:val="0"/>
        <w:pageBreakBefore w:val="0"/>
        <w:widowControl/>
        <w:kinsoku/>
        <w:wordWrap/>
        <w:overflowPunct/>
        <w:topLinePunct w:val="0"/>
        <w:autoSpaceDE/>
        <w:autoSpaceDN/>
        <w:bidi w:val="0"/>
        <w:adjustRightInd w:val="0"/>
        <w:snapToGrid w:val="0"/>
        <w:spacing w:line="200" w:lineRule="exact"/>
        <w:ind w:firstLine="0" w:firstLineChars="0"/>
        <w:jc w:val="center"/>
        <w:textAlignment w:val="auto"/>
        <w:rPr>
          <w:rFonts w:hint="eastAsia" w:ascii="方正小标宋简体" w:eastAsia="方正小标宋简体" w:cs="Times New Roman"/>
          <w:spacing w:val="0"/>
          <w:kern w:val="0"/>
          <w:sz w:val="40"/>
          <w:szCs w:val="40"/>
        </w:rPr>
      </w:pPr>
    </w:p>
    <w:p>
      <w:pPr>
        <w:pStyle w:val="3"/>
        <w:bidi w:val="0"/>
        <w:rPr>
          <w:rFonts w:hint="eastAsia"/>
        </w:rPr>
      </w:pPr>
      <w:r>
        <w:rPr>
          <w:rFonts w:hint="eastAsia"/>
        </w:rPr>
        <w:t>台州市应急管理局关于印发</w:t>
      </w:r>
      <w:r>
        <w:rPr>
          <w:rFonts w:hint="eastAsia"/>
        </w:rPr>
        <w:br w:type="textWrapping"/>
      </w:r>
      <w:r>
        <w:rPr>
          <w:rFonts w:hint="eastAsia"/>
        </w:rPr>
        <w:t>《2024年台州市安全评价机构执业行为专项</w:t>
      </w:r>
      <w:r>
        <w:rPr>
          <w:rFonts w:hint="eastAsia"/>
        </w:rPr>
        <w:br w:type="textWrapping"/>
      </w:r>
      <w:r>
        <w:rPr>
          <w:rFonts w:hint="eastAsia"/>
        </w:rPr>
        <w:t>检查实施方案》的通知</w:t>
      </w:r>
    </w:p>
    <w:p>
      <w:pPr>
        <w:rPr>
          <w:rFonts w:hint="eastAsia"/>
        </w:rPr>
      </w:pPr>
    </w:p>
    <w:p>
      <w:pPr>
        <w:ind w:left="0" w:leftChars="0" w:firstLine="0" w:firstLineChars="0"/>
        <w:rPr>
          <w:rFonts w:hint="eastAsia"/>
        </w:rPr>
      </w:pPr>
      <w:r>
        <w:rPr>
          <w:rFonts w:hint="eastAsia"/>
        </w:rPr>
        <w:t>各县（市、区）、台州湾新区应急管理局，局机关各处室、直属各单位，各安全评价机构：</w:t>
      </w:r>
    </w:p>
    <w:p>
      <w:pPr>
        <w:rPr>
          <w:rFonts w:hint="eastAsia"/>
        </w:rPr>
      </w:pPr>
      <w:r>
        <w:rPr>
          <w:rFonts w:hint="eastAsia"/>
        </w:rPr>
        <w:t>按照省应急管理厅《关于印发2024年浙江省安全评价机构执业行为专项检查实施方案的通知》（浙应急规财〔2024〕21号）的要求，市局制定了《2024年台州市安全评价机构执业行为专项检查实施方案》，现印发给你们，请结合实际认真抓好贯彻落实。</w:t>
      </w:r>
    </w:p>
    <w:p>
      <w:pPr>
        <w:rPr>
          <w:rFonts w:hint="eastAsia"/>
        </w:rPr>
      </w:pPr>
    </w:p>
    <w:p>
      <w:pPr>
        <w:rPr>
          <w:rFonts w:hint="eastAsia"/>
        </w:rPr>
      </w:pPr>
    </w:p>
    <w:p>
      <w:pPr>
        <w:wordWrap w:val="0"/>
        <w:jc w:val="right"/>
        <w:rPr>
          <w:rFonts w:hint="default" w:eastAsia="仿宋_GB2312"/>
          <w:lang w:val="en-US" w:eastAsia="zh-CN"/>
        </w:rPr>
      </w:pPr>
      <w:r>
        <w:rPr>
          <w:rFonts w:hint="eastAsia"/>
        </w:rPr>
        <w:t>台州市应急管理局</w:t>
      </w:r>
      <w:r>
        <w:rPr>
          <w:rFonts w:hint="eastAsia"/>
          <w:lang w:val="en-US" w:eastAsia="zh-CN"/>
        </w:rPr>
        <w:t xml:space="preserve">      </w:t>
      </w:r>
    </w:p>
    <w:p>
      <w:pPr>
        <w:wordWrap w:val="0"/>
        <w:jc w:val="right"/>
        <w:rPr>
          <w:rFonts w:hint="default" w:eastAsia="仿宋_GB2312"/>
          <w:lang w:val="en-US" w:eastAsia="zh-CN"/>
        </w:rPr>
      </w:pPr>
      <w:r>
        <w:rPr>
          <w:rFonts w:hint="eastAsia"/>
        </w:rPr>
        <w:t>2024年3月</w:t>
      </w:r>
      <w:r>
        <w:rPr>
          <w:rFonts w:hint="eastAsia"/>
          <w:lang w:val="en-US" w:eastAsia="zh-CN"/>
        </w:rPr>
        <w:t>8</w:t>
      </w:r>
      <w:r>
        <w:rPr>
          <w:rFonts w:hint="eastAsia"/>
        </w:rPr>
        <w:t>日</w:t>
      </w:r>
      <w:r>
        <w:rPr>
          <w:rFonts w:hint="eastAsia"/>
          <w:lang w:val="en-US" w:eastAsia="zh-CN"/>
        </w:rPr>
        <w:t xml:space="preserve">      </w:t>
      </w:r>
    </w:p>
    <w:p>
      <w:pPr>
        <w:rPr>
          <w:rFonts w:hint="eastAsia"/>
        </w:rPr>
      </w:pPr>
    </w:p>
    <w:p>
      <w:pPr>
        <w:rPr>
          <w:rFonts w:hint="eastAsia"/>
        </w:rPr>
      </w:pPr>
    </w:p>
    <w:p>
      <w:pPr>
        <w:rPr>
          <w:rFonts w:hint="eastAsia"/>
        </w:rPr>
      </w:pPr>
      <w:r>
        <w:rPr>
          <w:rFonts w:hint="eastAsia"/>
        </w:rPr>
        <w:br w:type="page"/>
      </w:r>
    </w:p>
    <w:p>
      <w:pPr>
        <w:pStyle w:val="3"/>
        <w:bidi w:val="0"/>
        <w:rPr>
          <w:rFonts w:hint="eastAsia"/>
        </w:rPr>
      </w:pPr>
      <w:r>
        <w:rPr>
          <w:rFonts w:hint="eastAsia"/>
        </w:rPr>
        <w:t>2024年台州市安全评价机构执业行为</w:t>
      </w:r>
      <w:r>
        <w:rPr>
          <w:rFonts w:hint="eastAsia"/>
        </w:rPr>
        <w:br w:type="textWrapping"/>
      </w:r>
      <w:r>
        <w:rPr>
          <w:rFonts w:hint="eastAsia"/>
        </w:rPr>
        <w:t>专项检查实施方案</w:t>
      </w:r>
    </w:p>
    <w:p>
      <w:pPr>
        <w:rPr>
          <w:rFonts w:hint="eastAsia"/>
        </w:rPr>
      </w:pPr>
    </w:p>
    <w:p>
      <w:pPr>
        <w:rPr>
          <w:rFonts w:hint="eastAsia"/>
        </w:rPr>
      </w:pPr>
      <w:r>
        <w:rPr>
          <w:rFonts w:hint="eastAsia"/>
        </w:rPr>
        <w:t>根据省应急管理厅《关于印发2024年浙江省安全评价机构执业行为专项检查实施方案的通知》的精神，为进一步巩固我市安全评价执业行为专项整治工作成效，集中治理安全评价机构与从业人员弄虚作假、出租出借资格证书以及非法作业等突出问题，市应急管理局决定在全市范围内开展安全评价机构执业行为专项检查。现将实施方案制定如下：</w:t>
      </w:r>
    </w:p>
    <w:p>
      <w:pPr>
        <w:pStyle w:val="4"/>
        <w:bidi w:val="0"/>
        <w:rPr>
          <w:rFonts w:hint="eastAsia"/>
        </w:rPr>
      </w:pPr>
      <w:r>
        <w:rPr>
          <w:rFonts w:hint="eastAsia"/>
        </w:rPr>
        <w:t>一、工作目标</w:t>
      </w:r>
    </w:p>
    <w:p>
      <w:pPr>
        <w:rPr>
          <w:rFonts w:hint="eastAsia"/>
        </w:rPr>
      </w:pPr>
      <w:r>
        <w:rPr>
          <w:rFonts w:hint="eastAsia"/>
        </w:rPr>
        <w:t>深入贯彻落实《应急管理部关于进一步加强安全评价机构监管的指导意见》（应急〔2023〕99号），全面贯彻省委、省政府规范提升中介服务的有关部署，认真落实市委巡察整改要求，坚决打击安全评价机构“换马甲”行为，压紧压实监管部门、生产经营单位、安全评价机构责任，坚决守住安全底线红线，推动安全生产治理模式向事前预防转变。</w:t>
      </w:r>
    </w:p>
    <w:p>
      <w:pPr>
        <w:pStyle w:val="4"/>
        <w:bidi w:val="0"/>
        <w:rPr>
          <w:rFonts w:hint="eastAsia"/>
        </w:rPr>
      </w:pPr>
      <w:r>
        <w:rPr>
          <w:rFonts w:hint="eastAsia"/>
        </w:rPr>
        <w:t>二、检查范围与内容</w:t>
      </w:r>
    </w:p>
    <w:p>
      <w:pPr>
        <w:rPr>
          <w:rFonts w:hint="eastAsia"/>
        </w:rPr>
      </w:pPr>
      <w:r>
        <w:rPr>
          <w:rStyle w:val="16"/>
          <w:rFonts w:hint="eastAsia"/>
        </w:rPr>
        <w:t>（一）检查范围。</w:t>
      </w:r>
      <w:r>
        <w:rPr>
          <w:rFonts w:hint="eastAsia"/>
        </w:rPr>
        <w:t>对2023年6月1日至2024年2月29日期间出具的法定安全评价项目（包括许可类与非许可类）的报告进行抽查；对在辖区内执业的安全评价机构进行全覆盖检查。</w:t>
      </w:r>
    </w:p>
    <w:p>
      <w:pPr>
        <w:pStyle w:val="6"/>
        <w:bidi w:val="0"/>
        <w:rPr>
          <w:rFonts w:hint="eastAsia"/>
        </w:rPr>
      </w:pPr>
      <w:r>
        <w:rPr>
          <w:rFonts w:hint="eastAsia"/>
        </w:rPr>
        <w:t>1.检查重点</w:t>
      </w:r>
    </w:p>
    <w:p>
      <w:pPr>
        <w:rPr>
          <w:rFonts w:hint="eastAsia"/>
        </w:rPr>
      </w:pPr>
      <w:r>
        <w:rPr>
          <w:rFonts w:hint="eastAsia"/>
        </w:rPr>
        <w:t>以近三年发生多起生产安全事故的行业和安全生产隐患大排查大整治中发现的重大隐患企业为着力点，以“安评在线”系统预警信息为方向，以一年内发生2次（含）以上违法违规行为的安全评价机构为重点核查对象，重点检查法定非许可类安全评价项目。</w:t>
      </w:r>
    </w:p>
    <w:p>
      <w:pPr>
        <w:pStyle w:val="6"/>
        <w:bidi w:val="0"/>
        <w:rPr>
          <w:rFonts w:hint="eastAsia"/>
        </w:rPr>
      </w:pPr>
      <w:r>
        <w:rPr>
          <w:rFonts w:hint="eastAsia"/>
        </w:rPr>
        <w:t>2.报告抽查要求</w:t>
      </w:r>
    </w:p>
    <w:p>
      <w:pPr>
        <w:rPr>
          <w:rFonts w:hint="eastAsia"/>
        </w:rPr>
      </w:pPr>
      <w:r>
        <w:rPr>
          <w:rFonts w:hint="eastAsia"/>
        </w:rPr>
        <w:t>法定非许可类安全评价项目全覆盖，法定许可类项目自定抽查比例。</w:t>
      </w:r>
    </w:p>
    <w:p>
      <w:pPr>
        <w:pStyle w:val="5"/>
        <w:bidi w:val="0"/>
        <w:rPr>
          <w:rFonts w:hint="eastAsia"/>
        </w:rPr>
      </w:pPr>
      <w:r>
        <w:rPr>
          <w:rFonts w:hint="eastAsia"/>
        </w:rPr>
        <w:t>（二）检查内容</w:t>
      </w:r>
    </w:p>
    <w:p>
      <w:pPr>
        <w:pStyle w:val="6"/>
        <w:bidi w:val="0"/>
        <w:rPr>
          <w:rFonts w:hint="eastAsia"/>
        </w:rPr>
      </w:pPr>
      <w:r>
        <w:rPr>
          <w:rFonts w:hint="eastAsia"/>
        </w:rPr>
        <w:t>1.安评报告方面</w:t>
      </w:r>
    </w:p>
    <w:p>
      <w:pPr>
        <w:rPr>
          <w:rFonts w:hint="eastAsia"/>
        </w:rPr>
      </w:pPr>
      <w:r>
        <w:rPr>
          <w:rFonts w:hint="eastAsia"/>
        </w:rPr>
        <w:t>（1）是否按规定进行从业告知；</w:t>
      </w:r>
    </w:p>
    <w:p>
      <w:pPr>
        <w:rPr>
          <w:rFonts w:hint="eastAsia"/>
        </w:rPr>
      </w:pPr>
      <w:r>
        <w:rPr>
          <w:rFonts w:hint="eastAsia"/>
        </w:rPr>
        <w:t>（2）是否按标准要求编制；</w:t>
      </w:r>
    </w:p>
    <w:p>
      <w:pPr>
        <w:rPr>
          <w:rFonts w:hint="eastAsia"/>
        </w:rPr>
      </w:pPr>
      <w:r>
        <w:rPr>
          <w:rFonts w:hint="eastAsia"/>
        </w:rPr>
        <w:t>（3）是否存在法规标准引用错误、关键危险有害因素漏项、重大危险源辨识错误、对策措施建议与存在问题严重不符等；</w:t>
      </w:r>
    </w:p>
    <w:p>
      <w:pPr>
        <w:rPr>
          <w:rFonts w:hint="eastAsia"/>
        </w:rPr>
      </w:pPr>
      <w:r>
        <w:rPr>
          <w:rFonts w:hint="eastAsia"/>
        </w:rPr>
        <w:t>（4）是否存在安全评价人员冒用他人名义或者允许他人冒用本人名义在安评报告和原始记录中签名的情况；</w:t>
      </w:r>
    </w:p>
    <w:p>
      <w:pPr>
        <w:rPr>
          <w:rFonts w:hint="eastAsia"/>
        </w:rPr>
      </w:pPr>
      <w:r>
        <w:rPr>
          <w:rFonts w:hint="eastAsia"/>
        </w:rPr>
        <w:t>（5）项目组人员是否符合安全评价项目专职安全评价师专业能力配备标准；</w:t>
      </w:r>
    </w:p>
    <w:p>
      <w:pPr>
        <w:rPr>
          <w:rFonts w:hint="eastAsia"/>
        </w:rPr>
      </w:pPr>
      <w:r>
        <w:rPr>
          <w:rFonts w:hint="eastAsia"/>
        </w:rPr>
        <w:t>（6）是否按要求网上公开相关信息及现场勘验图像影像；</w:t>
      </w:r>
    </w:p>
    <w:p>
      <w:pPr>
        <w:rPr>
          <w:rFonts w:hint="eastAsia"/>
        </w:rPr>
      </w:pPr>
      <w:r>
        <w:rPr>
          <w:rFonts w:hint="eastAsia"/>
        </w:rPr>
        <w:t>（7）安全评价项目资料是否全面并及时归档。</w:t>
      </w:r>
    </w:p>
    <w:p>
      <w:pPr>
        <w:pStyle w:val="6"/>
        <w:bidi w:val="0"/>
        <w:rPr>
          <w:rFonts w:hint="eastAsia"/>
        </w:rPr>
      </w:pPr>
      <w:r>
        <w:rPr>
          <w:rFonts w:hint="eastAsia"/>
        </w:rPr>
        <w:t>2.安全评价机构方面</w:t>
      </w:r>
    </w:p>
    <w:p>
      <w:pPr>
        <w:rPr>
          <w:rFonts w:hint="eastAsia"/>
        </w:rPr>
      </w:pPr>
      <w:r>
        <w:rPr>
          <w:rFonts w:hint="eastAsia"/>
        </w:rPr>
        <w:t>（1）是否具备并保持《安全评价检测检验机构管理办法》（应急管理部1号令）规定的资质条件；</w:t>
      </w:r>
    </w:p>
    <w:p>
      <w:pPr>
        <w:rPr>
          <w:rFonts w:hint="eastAsia"/>
        </w:rPr>
      </w:pPr>
      <w:r>
        <w:rPr>
          <w:rFonts w:hint="eastAsia"/>
        </w:rPr>
        <w:t>（2）是否存在不按规定签订技术服务合同情况；</w:t>
      </w:r>
    </w:p>
    <w:p>
      <w:pPr>
        <w:rPr>
          <w:rFonts w:hint="eastAsia"/>
        </w:rPr>
      </w:pPr>
      <w:r>
        <w:rPr>
          <w:rFonts w:hint="eastAsia"/>
        </w:rPr>
        <w:t>（3）是否存在出租、出借资质，或者超出资质证书规定的业务范围开展法定安全评价项目等情况；</w:t>
      </w:r>
    </w:p>
    <w:p>
      <w:pPr>
        <w:rPr>
          <w:rFonts w:hint="eastAsia"/>
        </w:rPr>
      </w:pPr>
      <w:r>
        <w:rPr>
          <w:rFonts w:hint="eastAsia"/>
        </w:rPr>
        <w:t>（4）是否存在擅自更改或者简化评价程序和内容等情况；</w:t>
      </w:r>
    </w:p>
    <w:p>
      <w:pPr>
        <w:rPr>
          <w:rFonts w:hint="eastAsia"/>
        </w:rPr>
      </w:pPr>
      <w:r>
        <w:rPr>
          <w:rFonts w:hint="eastAsia"/>
        </w:rPr>
        <w:t>（5）机构名称、注册地址、法定代表人、专职技术负责人发生变化时是否及时向资质认可机关提出变更申请。</w:t>
      </w:r>
    </w:p>
    <w:p>
      <w:pPr>
        <w:pStyle w:val="6"/>
        <w:bidi w:val="0"/>
        <w:rPr>
          <w:rFonts w:hint="eastAsia"/>
        </w:rPr>
      </w:pPr>
      <w:r>
        <w:rPr>
          <w:rFonts w:hint="eastAsia"/>
        </w:rPr>
        <w:t>3.从业人员方面</w:t>
      </w:r>
    </w:p>
    <w:p>
      <w:pPr>
        <w:rPr>
          <w:rFonts w:hint="eastAsia"/>
        </w:rPr>
      </w:pPr>
      <w:r>
        <w:rPr>
          <w:rFonts w:hint="eastAsia"/>
        </w:rPr>
        <w:t>（1）是否存在安全评价项目组组长或负责勘验人员不到现场实际地点开展勘验的情况；</w:t>
      </w:r>
    </w:p>
    <w:p>
      <w:pPr>
        <w:rPr>
          <w:rFonts w:hint="eastAsia"/>
        </w:rPr>
      </w:pPr>
      <w:r>
        <w:rPr>
          <w:rFonts w:hint="eastAsia"/>
        </w:rPr>
        <w:t>（2）是否存在安全评价人员违规出借出租资格证书、持假证上岗的现象。</w:t>
      </w:r>
    </w:p>
    <w:p>
      <w:pPr>
        <w:pStyle w:val="4"/>
        <w:bidi w:val="0"/>
        <w:rPr>
          <w:rFonts w:hint="eastAsia"/>
        </w:rPr>
      </w:pPr>
      <w:r>
        <w:rPr>
          <w:rFonts w:hint="eastAsia"/>
        </w:rPr>
        <w:t>三、时间安排及检查方式</w:t>
      </w:r>
    </w:p>
    <w:p>
      <w:pPr>
        <w:rPr>
          <w:rFonts w:hint="eastAsia"/>
        </w:rPr>
      </w:pPr>
      <w:r>
        <w:rPr>
          <w:rFonts w:hint="eastAsia"/>
        </w:rPr>
        <w:t>安全评价机构执业行为专项检查，从即日起至6月30日分三个阶段组织实施。</w:t>
      </w:r>
    </w:p>
    <w:p>
      <w:pPr>
        <w:pStyle w:val="5"/>
        <w:bidi w:val="0"/>
        <w:rPr>
          <w:rFonts w:hint="eastAsia"/>
        </w:rPr>
      </w:pPr>
      <w:r>
        <w:rPr>
          <w:rFonts w:hint="eastAsia"/>
        </w:rPr>
        <w:t>（一）梳理核查阶段（即日起至3月18日）</w:t>
      </w:r>
    </w:p>
    <w:p>
      <w:pPr>
        <w:rPr>
          <w:rFonts w:hint="eastAsia"/>
        </w:rPr>
      </w:pPr>
      <w:r>
        <w:rPr>
          <w:rFonts w:hint="eastAsia"/>
        </w:rPr>
        <w:t>各地应急管理局要按照落实属地监管责任的要求，依据《安全评价检测检验机构管理办法》（应急管理部1号令）明确的法定职责，结合属地实际和“安评在线”系统数据理摸清底数，全面核查在辖区内开展业务的安全评价机构情况及规定时间范围内的法定评价项目和报告，确定重点检查行业（领域、场所）及抽查比例，细化制定本地区本领域专项检查计划（附件1），于3月18日前报送台州市应急局。</w:t>
      </w:r>
    </w:p>
    <w:p>
      <w:pPr>
        <w:rPr>
          <w:rFonts w:hint="eastAsia"/>
        </w:rPr>
      </w:pPr>
      <w:r>
        <w:rPr>
          <w:rFonts w:hint="eastAsia"/>
        </w:rPr>
        <w:t>各安全评价机构要对照专项检查内容认真开展自查自改，全面核查本机构资质保持情况、规定时间范围内的法定评价项目和报告，列出问题清单，提出整改措施并明确整改期限，于3月18日前将自查报告加盖公章后报送台州市应急局。</w:t>
      </w:r>
    </w:p>
    <w:p>
      <w:pPr>
        <w:pStyle w:val="5"/>
        <w:bidi w:val="0"/>
        <w:rPr>
          <w:rFonts w:hint="eastAsia"/>
        </w:rPr>
      </w:pPr>
      <w:r>
        <w:rPr>
          <w:rFonts w:hint="eastAsia"/>
        </w:rPr>
        <w:t>（二）集中检查阶段（3月18日至5月31日）</w:t>
      </w:r>
    </w:p>
    <w:p>
      <w:pPr>
        <w:rPr>
          <w:rFonts w:hint="eastAsia"/>
        </w:rPr>
      </w:pPr>
      <w:r>
        <w:rPr>
          <w:rFonts w:hint="eastAsia"/>
        </w:rPr>
        <w:t>3月21日起，各地要根据安全生产隐患大排查大整治情况，结合年度执法计划，集中组织开展对安全评价机构和安全评价人员的检查与执法工作。市局成立执法检查组，抽查各地的部分法定安全评价项目安评报告，同时对存在疑问的评价报告延伸检查至企业现场，严肃查处安全评价机构与从业人员弄虚作假、出租出借资格证书以及非法作业等突出问题。</w:t>
      </w:r>
    </w:p>
    <w:p>
      <w:pPr>
        <w:pStyle w:val="5"/>
        <w:bidi w:val="0"/>
        <w:rPr>
          <w:rFonts w:hint="eastAsia"/>
        </w:rPr>
      </w:pPr>
      <w:r>
        <w:rPr>
          <w:rFonts w:hint="eastAsia"/>
        </w:rPr>
        <w:t>（三）总结评估阶段（6月）</w:t>
      </w:r>
    </w:p>
    <w:p>
      <w:pPr>
        <w:rPr>
          <w:rFonts w:hint="eastAsia"/>
        </w:rPr>
      </w:pPr>
      <w:r>
        <w:rPr>
          <w:rFonts w:hint="eastAsia"/>
        </w:rPr>
        <w:t>各地应急管理局系统梳理汇总此次专项检查发现的问题、好的经验做法以及工作建议等，于6月5日前将本市专项检查情况总结上报市应急管理局。市应急管理局对各地开展专项检查行动进行全面验收，综合评估各地专项检查成效，对行动实效、存在问题、严重违法行为和典型执法案例等进行公开通报。</w:t>
      </w:r>
    </w:p>
    <w:p>
      <w:pPr>
        <w:pStyle w:val="4"/>
        <w:bidi w:val="0"/>
        <w:rPr>
          <w:rFonts w:hint="eastAsia"/>
        </w:rPr>
      </w:pPr>
      <w:r>
        <w:rPr>
          <w:rFonts w:hint="eastAsia"/>
        </w:rPr>
        <w:t>四、工作要求</w:t>
      </w:r>
    </w:p>
    <w:p>
      <w:pPr>
        <w:rPr>
          <w:rFonts w:hint="eastAsia"/>
        </w:rPr>
      </w:pPr>
      <w:r>
        <w:rPr>
          <w:rStyle w:val="16"/>
          <w:rFonts w:hint="eastAsia"/>
        </w:rPr>
        <w:t>（一）提高思想认识。</w:t>
      </w:r>
      <w:r>
        <w:rPr>
          <w:rFonts w:hint="eastAsia"/>
        </w:rPr>
        <w:t>本次专项检查是落实市委巡察整改任务的一项重大举措，已列入对各地的年度考核内容。各地应急管理局要高度重视，强化监管执法部门的协同，落实专人，组建专班，认真严肃检查，盯牢每一个检查环节，确保达到预期效果，防止走过场。</w:t>
      </w:r>
    </w:p>
    <w:p>
      <w:pPr>
        <w:rPr>
          <w:rFonts w:hint="eastAsia"/>
        </w:rPr>
      </w:pPr>
      <w:r>
        <w:rPr>
          <w:rStyle w:val="16"/>
          <w:rFonts w:hint="eastAsia"/>
        </w:rPr>
        <w:t>（二）加强组织领导。</w:t>
      </w:r>
      <w:r>
        <w:rPr>
          <w:rFonts w:hint="eastAsia"/>
        </w:rPr>
        <w:t>各地应急管理局主要负责同志要亲自动员部署、明确职责分工，加强统筹，协调生产储存使用危险化学品、矿山、金属冶金等行业监管部门、安全评价机构监管的科（室）和执法部门的力量，形成工作合力，强力推进专项检查工作。请各地于3月18日前确定1名联络员报市应急管理局。</w:t>
      </w:r>
    </w:p>
    <w:p>
      <w:pPr>
        <w:rPr>
          <w:rFonts w:hint="eastAsia"/>
        </w:rPr>
      </w:pPr>
      <w:r>
        <w:rPr>
          <w:rStyle w:val="16"/>
          <w:rFonts w:hint="eastAsia"/>
        </w:rPr>
        <w:t>（三）严查违规行为。</w:t>
      </w:r>
      <w:r>
        <w:rPr>
          <w:rFonts w:hint="eastAsia"/>
        </w:rPr>
        <w:t>各地要坚持检查与执法相结合，坚决打击扰乱安全评价市场秩序的行为，对没有取得安全评价资质非法从事法定安全评价的社会化服务机构加大处罚力度，对出具虚假报告的机构坚决吊销资质，对出具失实报告的机构坚决停业整顿。要加强行刑衔接，依法依规实施处罚，确保违规机构受教训、其他机构受警示，做到查处一案、警示一片、治理一域。</w:t>
      </w:r>
    </w:p>
    <w:p>
      <w:pPr>
        <w:rPr>
          <w:rFonts w:hint="eastAsia"/>
        </w:rPr>
      </w:pPr>
      <w:r>
        <w:rPr>
          <w:rStyle w:val="16"/>
          <w:rFonts w:hint="eastAsia"/>
        </w:rPr>
        <w:t>（四）加强信息报送。</w:t>
      </w:r>
      <w:r>
        <w:rPr>
          <w:rFonts w:hint="eastAsia"/>
        </w:rPr>
        <w:t>各地要及时梳理专项工作进度，集中检查阶段于每月10日、25日，将阶段性工作进展（附件2、3）和典型案例（附件4）报送市应急管理局。</w:t>
      </w:r>
    </w:p>
    <w:p>
      <w:pPr>
        <w:rPr>
          <w:rFonts w:hint="eastAsia"/>
        </w:rPr>
      </w:pPr>
      <w:r>
        <w:rPr>
          <w:rStyle w:val="16"/>
          <w:rFonts w:hint="eastAsia"/>
        </w:rPr>
        <w:t>（五）强化宣传引导。</w:t>
      </w:r>
      <w:r>
        <w:rPr>
          <w:rFonts w:hint="eastAsia"/>
        </w:rPr>
        <w:t>各地要充分利用各类媒体，采取多种方式，对专项检查进行广泛宣传。专项检查期间，鼓励广大群众通过举报邮箱等途径举报安全评价机构违法违规行为。</w:t>
      </w:r>
    </w:p>
    <w:p>
      <w:pPr>
        <w:pStyle w:val="4"/>
        <w:bidi w:val="0"/>
        <w:rPr>
          <w:rFonts w:hint="eastAsia"/>
        </w:rPr>
      </w:pPr>
      <w:r>
        <w:rPr>
          <w:rFonts w:hint="eastAsia"/>
        </w:rPr>
        <w:t>五、有关说明</w:t>
      </w:r>
    </w:p>
    <w:p>
      <w:pPr>
        <w:rPr>
          <w:rFonts w:hint="eastAsia"/>
        </w:rPr>
      </w:pPr>
      <w:r>
        <w:rPr>
          <w:rFonts w:hint="eastAsia"/>
        </w:rPr>
        <w:t>（一）本方案所指法定安全评价，是指1号令规定的法定安全评价服务事项，主要包括法律、行政法规或者国务院决定设定的用于办理行政审批的安全评价中介服务事项，具体分为矿山、金属冶炼建设项目和用于生产、储存、装卸危险物品的建设项目安评报告；矿山安全生产许可涉及的安全评价，危险化学品、烟花爆竹企业安全生产和经营许可涉及的安全评价；使用危险化学品从事生产涉及的安全评价；生产、储存危险化学品企业用于报监管部门备案的安全评价；以及法律、法规或者国务院决定设定的其他安全评价。</w:t>
      </w:r>
    </w:p>
    <w:p>
      <w:pPr>
        <w:rPr>
          <w:rFonts w:hint="eastAsia"/>
        </w:rPr>
      </w:pPr>
      <w:r>
        <w:rPr>
          <w:rFonts w:hint="eastAsia"/>
        </w:rPr>
        <w:t>（二）本方案所指安全评价报告，是指为法定安全评价出具的证明文件。</w:t>
      </w:r>
    </w:p>
    <w:p>
      <w:pPr>
        <w:rPr>
          <w:rFonts w:hint="eastAsia"/>
        </w:rPr>
      </w:pPr>
      <w:r>
        <w:rPr>
          <w:rFonts w:hint="eastAsia"/>
        </w:rPr>
        <w:t>联系人：市应急管理局 缪优优。</w:t>
      </w:r>
    </w:p>
    <w:p>
      <w:pPr>
        <w:rPr>
          <w:rFonts w:hint="eastAsia"/>
        </w:rPr>
      </w:pPr>
      <w:r>
        <w:rPr>
          <w:rFonts w:hint="eastAsia"/>
        </w:rPr>
        <w:t>联系方式：0576-88519935，</w:t>
      </w:r>
    </w:p>
    <w:p>
      <w:pPr>
        <w:rPr>
          <w:rFonts w:hint="eastAsia"/>
        </w:rPr>
      </w:pPr>
      <w:bookmarkStart w:id="1" w:name="_GoBack"/>
      <w:bookmarkEnd w:id="1"/>
    </w:p>
    <w:p>
      <w:pPr>
        <w:rPr>
          <w:rFonts w:hint="eastAsia"/>
        </w:rPr>
      </w:pPr>
    </w:p>
    <w:p>
      <w:pPr>
        <w:rPr>
          <w:rFonts w:hint="eastAsia"/>
        </w:rPr>
      </w:pPr>
      <w:r>
        <w:rPr>
          <w:rFonts w:hint="eastAsia"/>
        </w:rPr>
        <w:t>附件：1.法定项目检查计划</w:t>
      </w:r>
    </w:p>
    <w:p>
      <w:pPr>
        <w:ind w:firstLine="1540" w:firstLineChars="500"/>
        <w:rPr>
          <w:rFonts w:hint="eastAsia"/>
        </w:rPr>
      </w:pPr>
      <w:r>
        <w:rPr>
          <w:rFonts w:hint="eastAsia"/>
        </w:rPr>
        <w:t>2.专项检查情况汇总表</w:t>
      </w:r>
    </w:p>
    <w:p>
      <w:pPr>
        <w:ind w:firstLine="1540" w:firstLineChars="500"/>
        <w:rPr>
          <w:rFonts w:hint="eastAsia"/>
        </w:rPr>
      </w:pPr>
      <w:r>
        <w:rPr>
          <w:rFonts w:hint="eastAsia"/>
        </w:rPr>
        <w:t>3.专项检查处罚详情表</w:t>
      </w:r>
    </w:p>
    <w:p>
      <w:pPr>
        <w:ind w:firstLine="1540" w:firstLineChars="500"/>
        <w:rPr>
          <w:rFonts w:hint="eastAsia"/>
        </w:rPr>
      </w:pPr>
      <w:r>
        <w:rPr>
          <w:rFonts w:hint="eastAsia"/>
        </w:rPr>
        <w:t>4.典型案例报送要求</w:t>
      </w:r>
    </w:p>
    <w:p>
      <w:pPr>
        <w:ind w:firstLine="1540" w:firstLineChars="500"/>
        <w:rPr>
          <w:rFonts w:hint="eastAsia"/>
        </w:rPr>
      </w:pPr>
      <w:r>
        <w:rPr>
          <w:rFonts w:hint="eastAsia"/>
        </w:rPr>
        <w:t>5.安全评价报告虚假情形认定</w:t>
      </w:r>
    </w:p>
    <w:p>
      <w:pPr>
        <w:ind w:firstLine="1540" w:firstLineChars="500"/>
        <w:rPr>
          <w:rFonts w:hint="eastAsia"/>
        </w:rPr>
        <w:sectPr>
          <w:footerReference r:id="rId5" w:type="default"/>
          <w:pgSz w:w="11906" w:h="16838"/>
          <w:pgMar w:top="1701" w:right="1531" w:bottom="1701" w:left="1531" w:header="851" w:footer="992" w:gutter="0"/>
          <w:pgNumType w:fmt="decimal"/>
          <w:cols w:space="0" w:num="1"/>
          <w:rtlGutter w:val="0"/>
          <w:docGrid w:type="lines" w:linePitch="312" w:charSpace="0"/>
        </w:sectPr>
      </w:pPr>
      <w:r>
        <w:rPr>
          <w:rFonts w:hint="eastAsia"/>
        </w:rPr>
        <w:t>6.安全评价报告失实情形认定</w:t>
      </w:r>
    </w:p>
    <w:p>
      <w:pPr>
        <w:pStyle w:val="21"/>
        <w:bidi w:val="0"/>
        <w:rPr>
          <w:rFonts w:hint="eastAsia"/>
        </w:rPr>
      </w:pPr>
      <w:r>
        <w:rPr>
          <w:rFonts w:hint="eastAsia"/>
        </w:rPr>
        <w:t>附件1</w:t>
      </w:r>
    </w:p>
    <w:p>
      <w:pPr>
        <w:pStyle w:val="3"/>
        <w:bidi w:val="0"/>
        <w:rPr>
          <w:rFonts w:hint="eastAsia"/>
        </w:rPr>
      </w:pPr>
      <w:r>
        <w:rPr>
          <w:rFonts w:hint="eastAsia"/>
        </w:rPr>
        <w:t>法定安评报告检查计划</w:t>
      </w:r>
    </w:p>
    <w:p>
      <w:pPr>
        <w:rPr>
          <w:rFonts w:hint="eastAsia"/>
        </w:rPr>
      </w:pPr>
    </w:p>
    <w:tbl>
      <w:tblPr>
        <w:tblStyle w:val="10"/>
        <w:tblpPr w:leftFromText="180" w:rightFromText="180" w:vertAnchor="text" w:horzAnchor="page" w:tblpXSpec="center" w:tblpY="212"/>
        <w:tblOverlap w:val="never"/>
        <w:tblW w:w="4998" w:type="pct"/>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autofit"/>
        <w:tblCellMar>
          <w:top w:w="0" w:type="dxa"/>
          <w:left w:w="108" w:type="dxa"/>
          <w:bottom w:w="0" w:type="dxa"/>
          <w:right w:w="108" w:type="dxa"/>
        </w:tblCellMar>
      </w:tblPr>
      <w:tblGrid>
        <w:gridCol w:w="932"/>
        <w:gridCol w:w="762"/>
        <w:gridCol w:w="1006"/>
        <w:gridCol w:w="1558"/>
        <w:gridCol w:w="1779"/>
        <w:gridCol w:w="2470"/>
        <w:gridCol w:w="1817"/>
        <w:gridCol w:w="1806"/>
        <w:gridCol w:w="1517"/>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341" w:type="pct"/>
            <w:tcBorders>
              <w:tl2br w:val="nil"/>
              <w:tr2bl w:val="nil"/>
            </w:tcBorders>
            <w:noWrap w:val="0"/>
            <w:vAlign w:val="center"/>
          </w:tcPr>
          <w:p>
            <w:pPr>
              <w:pStyle w:val="18"/>
              <w:bidi w:val="0"/>
              <w:jc w:val="center"/>
              <w:rPr>
                <w:rFonts w:hint="eastAsia" w:ascii="黑体" w:hAnsi="黑体" w:eastAsia="黑体" w:cs="黑体"/>
                <w:lang w:val="en-US" w:eastAsia="zh-CN"/>
              </w:rPr>
            </w:pPr>
            <w:r>
              <w:rPr>
                <w:rFonts w:hint="eastAsia" w:ascii="黑体" w:hAnsi="黑体" w:eastAsia="黑体" w:cs="黑体"/>
                <w:lang w:val="en-US" w:eastAsia="zh-CN"/>
              </w:rPr>
              <w:t>序号</w:t>
            </w:r>
          </w:p>
        </w:tc>
        <w:tc>
          <w:tcPr>
            <w:tcW w:w="279" w:type="pct"/>
            <w:tcBorders>
              <w:tl2br w:val="nil"/>
              <w:tr2bl w:val="nil"/>
            </w:tcBorders>
            <w:noWrap w:val="0"/>
            <w:vAlign w:val="center"/>
          </w:tcPr>
          <w:p>
            <w:pPr>
              <w:pStyle w:val="18"/>
              <w:bidi w:val="0"/>
              <w:jc w:val="center"/>
              <w:rPr>
                <w:rFonts w:hint="eastAsia" w:ascii="黑体" w:hAnsi="黑体" w:eastAsia="黑体" w:cs="黑体"/>
                <w:lang w:val="en-US" w:eastAsia="zh-CN"/>
              </w:rPr>
            </w:pPr>
            <w:r>
              <w:rPr>
                <w:rFonts w:hint="eastAsia" w:ascii="黑体" w:hAnsi="黑体" w:eastAsia="黑体" w:cs="黑体"/>
                <w:lang w:val="en-US" w:eastAsia="zh-CN"/>
              </w:rPr>
              <w:t>市</w:t>
            </w:r>
          </w:p>
        </w:tc>
        <w:tc>
          <w:tcPr>
            <w:tcW w:w="368" w:type="pct"/>
            <w:tcBorders>
              <w:tl2br w:val="nil"/>
              <w:tr2bl w:val="nil"/>
            </w:tcBorders>
            <w:noWrap w:val="0"/>
            <w:vAlign w:val="center"/>
          </w:tcPr>
          <w:p>
            <w:pPr>
              <w:pStyle w:val="18"/>
              <w:bidi w:val="0"/>
              <w:jc w:val="center"/>
              <w:rPr>
                <w:rFonts w:hint="eastAsia" w:ascii="黑体" w:hAnsi="黑体" w:eastAsia="黑体" w:cs="黑体"/>
                <w:lang w:val="en-US" w:eastAsia="zh-CN"/>
              </w:rPr>
            </w:pPr>
            <w:r>
              <w:rPr>
                <w:rFonts w:hint="eastAsia" w:ascii="黑体" w:hAnsi="黑体" w:eastAsia="黑体" w:cs="黑体"/>
                <w:lang w:val="en-US" w:eastAsia="zh-CN"/>
              </w:rPr>
              <w:t>区县</w:t>
            </w:r>
          </w:p>
        </w:tc>
        <w:tc>
          <w:tcPr>
            <w:tcW w:w="570" w:type="pct"/>
            <w:tcBorders>
              <w:tl2br w:val="nil"/>
              <w:tr2bl w:val="nil"/>
            </w:tcBorders>
            <w:noWrap w:val="0"/>
            <w:vAlign w:val="center"/>
          </w:tcPr>
          <w:p>
            <w:pPr>
              <w:pStyle w:val="18"/>
              <w:bidi w:val="0"/>
              <w:jc w:val="center"/>
              <w:rPr>
                <w:rFonts w:hint="eastAsia" w:ascii="黑体" w:hAnsi="黑体" w:eastAsia="黑体" w:cs="黑体"/>
                <w:lang w:val="en-US" w:eastAsia="zh-CN"/>
              </w:rPr>
            </w:pPr>
            <w:r>
              <w:rPr>
                <w:rFonts w:hint="eastAsia" w:ascii="黑体" w:hAnsi="黑体" w:eastAsia="黑体" w:cs="黑体"/>
                <w:lang w:val="en-US" w:eastAsia="zh-CN"/>
              </w:rPr>
              <w:t>项目名称</w:t>
            </w:r>
          </w:p>
        </w:tc>
        <w:tc>
          <w:tcPr>
            <w:tcW w:w="651" w:type="pct"/>
            <w:tcBorders>
              <w:tl2br w:val="nil"/>
              <w:tr2bl w:val="nil"/>
            </w:tcBorders>
            <w:noWrap w:val="0"/>
            <w:vAlign w:val="center"/>
          </w:tcPr>
          <w:p>
            <w:pPr>
              <w:pStyle w:val="18"/>
              <w:bidi w:val="0"/>
              <w:jc w:val="center"/>
              <w:rPr>
                <w:rFonts w:hint="eastAsia" w:ascii="黑体" w:hAnsi="黑体" w:eastAsia="黑体" w:cs="黑体"/>
                <w:lang w:val="en-US" w:eastAsia="zh-CN"/>
              </w:rPr>
            </w:pPr>
            <w:r>
              <w:rPr>
                <w:rFonts w:hint="eastAsia" w:ascii="黑体" w:hAnsi="黑体" w:eastAsia="黑体" w:cs="黑体"/>
                <w:lang w:val="en-US" w:eastAsia="zh-CN"/>
              </w:rPr>
              <w:t>行业类别</w:t>
            </w:r>
          </w:p>
        </w:tc>
        <w:tc>
          <w:tcPr>
            <w:tcW w:w="904" w:type="pct"/>
            <w:tcBorders>
              <w:tl2br w:val="nil"/>
              <w:tr2bl w:val="nil"/>
            </w:tcBorders>
            <w:noWrap w:val="0"/>
            <w:vAlign w:val="center"/>
          </w:tcPr>
          <w:p>
            <w:pPr>
              <w:pStyle w:val="18"/>
              <w:bidi w:val="0"/>
              <w:jc w:val="center"/>
              <w:rPr>
                <w:rFonts w:hint="eastAsia" w:ascii="黑体" w:hAnsi="黑体" w:eastAsia="黑体" w:cs="黑体"/>
                <w:lang w:val="en-US" w:eastAsia="zh-CN"/>
              </w:rPr>
            </w:pPr>
            <w:r>
              <w:rPr>
                <w:rFonts w:hint="eastAsia" w:ascii="黑体" w:hAnsi="黑体" w:eastAsia="黑体" w:cs="黑体"/>
                <w:lang w:val="en-US" w:eastAsia="zh-CN"/>
              </w:rPr>
              <w:t>生产经营单位</w:t>
            </w:r>
          </w:p>
        </w:tc>
        <w:tc>
          <w:tcPr>
            <w:tcW w:w="665" w:type="pct"/>
            <w:tcBorders>
              <w:tl2br w:val="nil"/>
              <w:tr2bl w:val="nil"/>
            </w:tcBorders>
            <w:noWrap w:val="0"/>
            <w:vAlign w:val="center"/>
          </w:tcPr>
          <w:p>
            <w:pPr>
              <w:pStyle w:val="18"/>
              <w:bidi w:val="0"/>
              <w:jc w:val="center"/>
              <w:rPr>
                <w:rFonts w:hint="eastAsia" w:ascii="黑体" w:hAnsi="黑体" w:eastAsia="黑体" w:cs="黑体"/>
                <w:lang w:val="en-US" w:eastAsia="zh-CN"/>
              </w:rPr>
            </w:pPr>
            <w:r>
              <w:rPr>
                <w:rFonts w:hint="eastAsia" w:ascii="黑体" w:hAnsi="黑体" w:eastAsia="黑体" w:cs="黑体"/>
                <w:lang w:val="en-US" w:eastAsia="zh-CN"/>
              </w:rPr>
              <w:t>安评机构</w:t>
            </w:r>
          </w:p>
        </w:tc>
        <w:tc>
          <w:tcPr>
            <w:tcW w:w="661" w:type="pct"/>
            <w:tcBorders>
              <w:tl2br w:val="nil"/>
              <w:tr2bl w:val="nil"/>
            </w:tcBorders>
            <w:noWrap w:val="0"/>
            <w:vAlign w:val="center"/>
          </w:tcPr>
          <w:p>
            <w:pPr>
              <w:pStyle w:val="18"/>
              <w:bidi w:val="0"/>
              <w:jc w:val="center"/>
              <w:rPr>
                <w:rFonts w:hint="eastAsia" w:ascii="黑体" w:hAnsi="黑体" w:eastAsia="黑体" w:cs="黑体"/>
                <w:lang w:val="en-US" w:eastAsia="zh-CN"/>
              </w:rPr>
            </w:pPr>
            <w:r>
              <w:rPr>
                <w:rFonts w:hint="eastAsia" w:ascii="黑体" w:hAnsi="黑体" w:eastAsia="黑体" w:cs="黑体"/>
                <w:lang w:val="en-US" w:eastAsia="zh-CN"/>
              </w:rPr>
              <w:t>项目负责人</w:t>
            </w:r>
          </w:p>
        </w:tc>
        <w:tc>
          <w:tcPr>
            <w:tcW w:w="555" w:type="pct"/>
            <w:tcBorders>
              <w:tl2br w:val="nil"/>
              <w:tr2bl w:val="nil"/>
            </w:tcBorders>
            <w:noWrap w:val="0"/>
            <w:vAlign w:val="center"/>
          </w:tcPr>
          <w:p>
            <w:pPr>
              <w:pStyle w:val="18"/>
              <w:bidi w:val="0"/>
              <w:jc w:val="center"/>
              <w:rPr>
                <w:rFonts w:hint="eastAsia" w:ascii="黑体" w:hAnsi="黑体" w:eastAsia="黑体" w:cs="黑体"/>
                <w:lang w:val="en-US" w:eastAsia="zh-CN"/>
              </w:rPr>
            </w:pPr>
            <w:r>
              <w:rPr>
                <w:rFonts w:hint="eastAsia" w:ascii="黑体" w:hAnsi="黑体" w:eastAsia="黑体" w:cs="黑体"/>
                <w:lang w:val="en-US" w:eastAsia="zh-CN"/>
              </w:rPr>
              <w:t>检查时间</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341" w:type="pct"/>
            <w:tcBorders>
              <w:tl2br w:val="nil"/>
              <w:tr2bl w:val="nil"/>
            </w:tcBorders>
            <w:noWrap w:val="0"/>
            <w:vAlign w:val="center"/>
          </w:tcPr>
          <w:p>
            <w:pPr>
              <w:pStyle w:val="18"/>
              <w:bidi w:val="0"/>
              <w:rPr>
                <w:rFonts w:hint="default"/>
                <w:lang w:val="en-US" w:eastAsia="zh-CN"/>
              </w:rPr>
            </w:pPr>
          </w:p>
        </w:tc>
        <w:tc>
          <w:tcPr>
            <w:tcW w:w="279" w:type="pct"/>
            <w:tcBorders>
              <w:tl2br w:val="nil"/>
              <w:tr2bl w:val="nil"/>
            </w:tcBorders>
            <w:noWrap w:val="0"/>
            <w:vAlign w:val="center"/>
          </w:tcPr>
          <w:p>
            <w:pPr>
              <w:pStyle w:val="18"/>
              <w:bidi w:val="0"/>
              <w:rPr>
                <w:rFonts w:hint="default"/>
                <w:lang w:val="en-US" w:eastAsia="zh-CN"/>
              </w:rPr>
            </w:pPr>
          </w:p>
        </w:tc>
        <w:tc>
          <w:tcPr>
            <w:tcW w:w="368" w:type="pct"/>
            <w:tcBorders>
              <w:tl2br w:val="nil"/>
              <w:tr2bl w:val="nil"/>
            </w:tcBorders>
            <w:noWrap w:val="0"/>
            <w:vAlign w:val="center"/>
          </w:tcPr>
          <w:p>
            <w:pPr>
              <w:pStyle w:val="18"/>
              <w:bidi w:val="0"/>
              <w:rPr>
                <w:rFonts w:hint="default"/>
                <w:lang w:val="en-US" w:eastAsia="zh-CN"/>
              </w:rPr>
            </w:pPr>
          </w:p>
        </w:tc>
        <w:tc>
          <w:tcPr>
            <w:tcW w:w="570" w:type="pct"/>
            <w:tcBorders>
              <w:tl2br w:val="nil"/>
              <w:tr2bl w:val="nil"/>
            </w:tcBorders>
            <w:noWrap w:val="0"/>
            <w:vAlign w:val="center"/>
          </w:tcPr>
          <w:p>
            <w:pPr>
              <w:pStyle w:val="18"/>
              <w:bidi w:val="0"/>
              <w:rPr>
                <w:rFonts w:hint="default"/>
                <w:lang w:val="en-US" w:eastAsia="zh-CN"/>
              </w:rPr>
            </w:pPr>
          </w:p>
        </w:tc>
        <w:tc>
          <w:tcPr>
            <w:tcW w:w="651" w:type="pct"/>
            <w:tcBorders>
              <w:tl2br w:val="nil"/>
              <w:tr2bl w:val="nil"/>
            </w:tcBorders>
            <w:noWrap w:val="0"/>
            <w:vAlign w:val="center"/>
          </w:tcPr>
          <w:p>
            <w:pPr>
              <w:pStyle w:val="18"/>
              <w:bidi w:val="0"/>
              <w:rPr>
                <w:rFonts w:hint="default"/>
                <w:lang w:val="en-US" w:eastAsia="zh-CN"/>
              </w:rPr>
            </w:pPr>
          </w:p>
        </w:tc>
        <w:tc>
          <w:tcPr>
            <w:tcW w:w="904" w:type="pct"/>
            <w:tcBorders>
              <w:tl2br w:val="nil"/>
              <w:tr2bl w:val="nil"/>
            </w:tcBorders>
            <w:noWrap w:val="0"/>
            <w:vAlign w:val="center"/>
          </w:tcPr>
          <w:p>
            <w:pPr>
              <w:pStyle w:val="18"/>
              <w:bidi w:val="0"/>
              <w:rPr>
                <w:rFonts w:hint="default"/>
                <w:lang w:val="en-US" w:eastAsia="zh-CN"/>
              </w:rPr>
            </w:pPr>
          </w:p>
        </w:tc>
        <w:tc>
          <w:tcPr>
            <w:tcW w:w="665" w:type="pct"/>
            <w:tcBorders>
              <w:tl2br w:val="nil"/>
              <w:tr2bl w:val="nil"/>
            </w:tcBorders>
            <w:noWrap w:val="0"/>
            <w:vAlign w:val="center"/>
          </w:tcPr>
          <w:p>
            <w:pPr>
              <w:pStyle w:val="18"/>
              <w:bidi w:val="0"/>
              <w:rPr>
                <w:rFonts w:hint="default"/>
                <w:lang w:val="en-US" w:eastAsia="zh-CN"/>
              </w:rPr>
            </w:pPr>
          </w:p>
        </w:tc>
        <w:tc>
          <w:tcPr>
            <w:tcW w:w="661" w:type="pct"/>
            <w:tcBorders>
              <w:tl2br w:val="nil"/>
              <w:tr2bl w:val="nil"/>
            </w:tcBorders>
            <w:noWrap w:val="0"/>
            <w:vAlign w:val="center"/>
          </w:tcPr>
          <w:p>
            <w:pPr>
              <w:pStyle w:val="18"/>
              <w:bidi w:val="0"/>
              <w:rPr>
                <w:rFonts w:hint="default"/>
                <w:lang w:val="en-US" w:eastAsia="zh-CN"/>
              </w:rPr>
            </w:pPr>
          </w:p>
        </w:tc>
        <w:tc>
          <w:tcPr>
            <w:tcW w:w="555" w:type="pct"/>
            <w:tcBorders>
              <w:tl2br w:val="nil"/>
              <w:tr2bl w:val="nil"/>
            </w:tcBorders>
            <w:noWrap w:val="0"/>
            <w:vAlign w:val="center"/>
          </w:tcPr>
          <w:p>
            <w:pPr>
              <w:pStyle w:val="18"/>
              <w:bidi w:val="0"/>
              <w:rPr>
                <w:rFonts w:hint="default"/>
                <w:lang w:val="en-US" w:eastAsia="zh-CN"/>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341" w:type="pct"/>
            <w:tcBorders>
              <w:tl2br w:val="nil"/>
              <w:tr2bl w:val="nil"/>
            </w:tcBorders>
            <w:noWrap w:val="0"/>
            <w:vAlign w:val="center"/>
          </w:tcPr>
          <w:p>
            <w:pPr>
              <w:pStyle w:val="18"/>
              <w:bidi w:val="0"/>
              <w:rPr>
                <w:rFonts w:hint="default"/>
                <w:lang w:val="en-US" w:eastAsia="zh-CN"/>
              </w:rPr>
            </w:pPr>
          </w:p>
        </w:tc>
        <w:tc>
          <w:tcPr>
            <w:tcW w:w="279" w:type="pct"/>
            <w:tcBorders>
              <w:tl2br w:val="nil"/>
              <w:tr2bl w:val="nil"/>
            </w:tcBorders>
            <w:noWrap w:val="0"/>
            <w:vAlign w:val="center"/>
          </w:tcPr>
          <w:p>
            <w:pPr>
              <w:pStyle w:val="18"/>
              <w:bidi w:val="0"/>
              <w:rPr>
                <w:rFonts w:hint="default"/>
                <w:lang w:val="en-US" w:eastAsia="zh-CN"/>
              </w:rPr>
            </w:pPr>
          </w:p>
        </w:tc>
        <w:tc>
          <w:tcPr>
            <w:tcW w:w="368" w:type="pct"/>
            <w:tcBorders>
              <w:tl2br w:val="nil"/>
              <w:tr2bl w:val="nil"/>
            </w:tcBorders>
            <w:noWrap w:val="0"/>
            <w:vAlign w:val="center"/>
          </w:tcPr>
          <w:p>
            <w:pPr>
              <w:pStyle w:val="18"/>
              <w:bidi w:val="0"/>
              <w:rPr>
                <w:rFonts w:hint="default"/>
                <w:lang w:val="en-US" w:eastAsia="zh-CN"/>
              </w:rPr>
            </w:pPr>
          </w:p>
        </w:tc>
        <w:tc>
          <w:tcPr>
            <w:tcW w:w="570" w:type="pct"/>
            <w:tcBorders>
              <w:tl2br w:val="nil"/>
              <w:tr2bl w:val="nil"/>
            </w:tcBorders>
            <w:noWrap w:val="0"/>
            <w:vAlign w:val="center"/>
          </w:tcPr>
          <w:p>
            <w:pPr>
              <w:pStyle w:val="18"/>
              <w:bidi w:val="0"/>
              <w:rPr>
                <w:rFonts w:hint="default"/>
                <w:lang w:val="en-US" w:eastAsia="zh-CN"/>
              </w:rPr>
            </w:pPr>
          </w:p>
        </w:tc>
        <w:tc>
          <w:tcPr>
            <w:tcW w:w="651" w:type="pct"/>
            <w:tcBorders>
              <w:tl2br w:val="nil"/>
              <w:tr2bl w:val="nil"/>
            </w:tcBorders>
            <w:noWrap w:val="0"/>
            <w:vAlign w:val="center"/>
          </w:tcPr>
          <w:p>
            <w:pPr>
              <w:pStyle w:val="18"/>
              <w:bidi w:val="0"/>
              <w:rPr>
                <w:rFonts w:hint="default"/>
                <w:lang w:val="en-US" w:eastAsia="zh-CN"/>
              </w:rPr>
            </w:pPr>
          </w:p>
        </w:tc>
        <w:tc>
          <w:tcPr>
            <w:tcW w:w="904" w:type="pct"/>
            <w:tcBorders>
              <w:tl2br w:val="nil"/>
              <w:tr2bl w:val="nil"/>
            </w:tcBorders>
            <w:noWrap w:val="0"/>
            <w:vAlign w:val="center"/>
          </w:tcPr>
          <w:p>
            <w:pPr>
              <w:pStyle w:val="18"/>
              <w:bidi w:val="0"/>
              <w:rPr>
                <w:rFonts w:hint="default"/>
                <w:lang w:val="en-US" w:eastAsia="zh-CN"/>
              </w:rPr>
            </w:pPr>
          </w:p>
        </w:tc>
        <w:tc>
          <w:tcPr>
            <w:tcW w:w="665" w:type="pct"/>
            <w:tcBorders>
              <w:tl2br w:val="nil"/>
              <w:tr2bl w:val="nil"/>
            </w:tcBorders>
            <w:noWrap w:val="0"/>
            <w:vAlign w:val="center"/>
          </w:tcPr>
          <w:p>
            <w:pPr>
              <w:pStyle w:val="18"/>
              <w:bidi w:val="0"/>
              <w:rPr>
                <w:rFonts w:hint="default"/>
                <w:lang w:val="en-US" w:eastAsia="zh-CN"/>
              </w:rPr>
            </w:pPr>
          </w:p>
        </w:tc>
        <w:tc>
          <w:tcPr>
            <w:tcW w:w="661" w:type="pct"/>
            <w:tcBorders>
              <w:tl2br w:val="nil"/>
              <w:tr2bl w:val="nil"/>
            </w:tcBorders>
            <w:noWrap w:val="0"/>
            <w:vAlign w:val="center"/>
          </w:tcPr>
          <w:p>
            <w:pPr>
              <w:pStyle w:val="18"/>
              <w:bidi w:val="0"/>
              <w:rPr>
                <w:rFonts w:hint="default"/>
                <w:lang w:val="en-US" w:eastAsia="zh-CN"/>
              </w:rPr>
            </w:pPr>
          </w:p>
        </w:tc>
        <w:tc>
          <w:tcPr>
            <w:tcW w:w="555" w:type="pct"/>
            <w:tcBorders>
              <w:tl2br w:val="nil"/>
              <w:tr2bl w:val="nil"/>
            </w:tcBorders>
            <w:noWrap w:val="0"/>
            <w:vAlign w:val="center"/>
          </w:tcPr>
          <w:p>
            <w:pPr>
              <w:pStyle w:val="18"/>
              <w:bidi w:val="0"/>
              <w:rPr>
                <w:rFonts w:hint="default"/>
                <w:lang w:val="en-US" w:eastAsia="zh-CN"/>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341" w:type="pct"/>
            <w:tcBorders>
              <w:tl2br w:val="nil"/>
              <w:tr2bl w:val="nil"/>
            </w:tcBorders>
            <w:noWrap w:val="0"/>
            <w:vAlign w:val="center"/>
          </w:tcPr>
          <w:p>
            <w:pPr>
              <w:pStyle w:val="18"/>
              <w:bidi w:val="0"/>
              <w:rPr>
                <w:rFonts w:hint="default"/>
                <w:lang w:val="en-US" w:eastAsia="zh-CN"/>
              </w:rPr>
            </w:pPr>
          </w:p>
        </w:tc>
        <w:tc>
          <w:tcPr>
            <w:tcW w:w="279" w:type="pct"/>
            <w:tcBorders>
              <w:tl2br w:val="nil"/>
              <w:tr2bl w:val="nil"/>
            </w:tcBorders>
            <w:noWrap w:val="0"/>
            <w:vAlign w:val="center"/>
          </w:tcPr>
          <w:p>
            <w:pPr>
              <w:pStyle w:val="18"/>
              <w:bidi w:val="0"/>
              <w:rPr>
                <w:rFonts w:hint="default"/>
                <w:lang w:val="en-US" w:eastAsia="zh-CN"/>
              </w:rPr>
            </w:pPr>
          </w:p>
        </w:tc>
        <w:tc>
          <w:tcPr>
            <w:tcW w:w="368" w:type="pct"/>
            <w:tcBorders>
              <w:tl2br w:val="nil"/>
              <w:tr2bl w:val="nil"/>
            </w:tcBorders>
            <w:noWrap w:val="0"/>
            <w:vAlign w:val="center"/>
          </w:tcPr>
          <w:p>
            <w:pPr>
              <w:pStyle w:val="18"/>
              <w:bidi w:val="0"/>
              <w:rPr>
                <w:rFonts w:hint="default"/>
                <w:lang w:val="en-US" w:eastAsia="zh-CN"/>
              </w:rPr>
            </w:pPr>
          </w:p>
        </w:tc>
        <w:tc>
          <w:tcPr>
            <w:tcW w:w="570" w:type="pct"/>
            <w:tcBorders>
              <w:tl2br w:val="nil"/>
              <w:tr2bl w:val="nil"/>
            </w:tcBorders>
            <w:noWrap w:val="0"/>
            <w:vAlign w:val="center"/>
          </w:tcPr>
          <w:p>
            <w:pPr>
              <w:pStyle w:val="18"/>
              <w:bidi w:val="0"/>
              <w:rPr>
                <w:rFonts w:hint="default"/>
                <w:lang w:val="en-US" w:eastAsia="zh-CN"/>
              </w:rPr>
            </w:pPr>
          </w:p>
        </w:tc>
        <w:tc>
          <w:tcPr>
            <w:tcW w:w="651" w:type="pct"/>
            <w:tcBorders>
              <w:tl2br w:val="nil"/>
              <w:tr2bl w:val="nil"/>
            </w:tcBorders>
            <w:noWrap w:val="0"/>
            <w:vAlign w:val="center"/>
          </w:tcPr>
          <w:p>
            <w:pPr>
              <w:pStyle w:val="18"/>
              <w:bidi w:val="0"/>
              <w:rPr>
                <w:rFonts w:hint="default"/>
                <w:lang w:val="en-US" w:eastAsia="zh-CN"/>
              </w:rPr>
            </w:pPr>
          </w:p>
        </w:tc>
        <w:tc>
          <w:tcPr>
            <w:tcW w:w="904" w:type="pct"/>
            <w:tcBorders>
              <w:tl2br w:val="nil"/>
              <w:tr2bl w:val="nil"/>
            </w:tcBorders>
            <w:noWrap w:val="0"/>
            <w:vAlign w:val="center"/>
          </w:tcPr>
          <w:p>
            <w:pPr>
              <w:pStyle w:val="18"/>
              <w:bidi w:val="0"/>
              <w:rPr>
                <w:rFonts w:hint="default"/>
                <w:lang w:val="en-US" w:eastAsia="zh-CN"/>
              </w:rPr>
            </w:pPr>
          </w:p>
        </w:tc>
        <w:tc>
          <w:tcPr>
            <w:tcW w:w="665" w:type="pct"/>
            <w:tcBorders>
              <w:tl2br w:val="nil"/>
              <w:tr2bl w:val="nil"/>
            </w:tcBorders>
            <w:noWrap w:val="0"/>
            <w:vAlign w:val="center"/>
          </w:tcPr>
          <w:p>
            <w:pPr>
              <w:pStyle w:val="18"/>
              <w:bidi w:val="0"/>
              <w:rPr>
                <w:rFonts w:hint="default"/>
                <w:lang w:val="en-US" w:eastAsia="zh-CN"/>
              </w:rPr>
            </w:pPr>
          </w:p>
        </w:tc>
        <w:tc>
          <w:tcPr>
            <w:tcW w:w="661" w:type="pct"/>
            <w:tcBorders>
              <w:tl2br w:val="nil"/>
              <w:tr2bl w:val="nil"/>
            </w:tcBorders>
            <w:noWrap w:val="0"/>
            <w:vAlign w:val="center"/>
          </w:tcPr>
          <w:p>
            <w:pPr>
              <w:pStyle w:val="18"/>
              <w:bidi w:val="0"/>
              <w:rPr>
                <w:rFonts w:hint="default"/>
                <w:lang w:val="en-US" w:eastAsia="zh-CN"/>
              </w:rPr>
            </w:pPr>
          </w:p>
        </w:tc>
        <w:tc>
          <w:tcPr>
            <w:tcW w:w="555" w:type="pct"/>
            <w:tcBorders>
              <w:tl2br w:val="nil"/>
              <w:tr2bl w:val="nil"/>
            </w:tcBorders>
            <w:noWrap w:val="0"/>
            <w:vAlign w:val="center"/>
          </w:tcPr>
          <w:p>
            <w:pPr>
              <w:pStyle w:val="18"/>
              <w:bidi w:val="0"/>
              <w:rPr>
                <w:rFonts w:hint="default"/>
                <w:lang w:val="en-US" w:eastAsia="zh-CN"/>
              </w:rPr>
            </w:pPr>
          </w:p>
        </w:tc>
      </w:tr>
    </w:tbl>
    <w:p>
      <w:pPr>
        <w:rPr>
          <w:rFonts w:hint="eastAsia"/>
        </w:rPr>
      </w:pPr>
    </w:p>
    <w:p>
      <w:pPr>
        <w:rPr>
          <w:rFonts w:hint="eastAsia"/>
        </w:rPr>
      </w:pPr>
    </w:p>
    <w:p>
      <w:pPr>
        <w:rPr>
          <w:rFonts w:hint="eastAsia"/>
        </w:rPr>
      </w:pPr>
      <w:r>
        <w:rPr>
          <w:rFonts w:hint="eastAsia"/>
        </w:rPr>
        <w:br w:type="page"/>
      </w:r>
    </w:p>
    <w:p>
      <w:pPr>
        <w:pStyle w:val="21"/>
        <w:bidi w:val="0"/>
        <w:rPr>
          <w:rFonts w:hint="eastAsia"/>
        </w:rPr>
      </w:pPr>
      <w:r>
        <w:rPr>
          <w:rFonts w:hint="eastAsia"/>
        </w:rPr>
        <w:t>附件2</w:t>
      </w:r>
    </w:p>
    <w:p>
      <w:pPr>
        <w:pStyle w:val="3"/>
        <w:bidi w:val="0"/>
        <w:rPr>
          <w:rFonts w:hint="eastAsia"/>
        </w:rPr>
      </w:pPr>
      <w:r>
        <w:rPr>
          <w:rFonts w:hint="eastAsia"/>
        </w:rPr>
        <w:t>专项检查情况汇总表</w:t>
      </w:r>
    </w:p>
    <w:p>
      <w:pPr>
        <w:ind w:left="0" w:leftChars="0" w:firstLine="0" w:firstLineChars="0"/>
        <w:rPr>
          <w:rFonts w:hint="eastAsia"/>
        </w:rPr>
      </w:pPr>
      <w:r>
        <w:rPr>
          <w:rFonts w:hint="eastAsia"/>
        </w:rPr>
        <w:t>填报单位：                                              截止日期：    年   月   日</w:t>
      </w:r>
    </w:p>
    <w:tbl>
      <w:tblPr>
        <w:tblStyle w:val="11"/>
        <w:tblW w:w="4997"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240"/>
        <w:gridCol w:w="1240"/>
        <w:gridCol w:w="1538"/>
        <w:gridCol w:w="1126"/>
        <w:gridCol w:w="1172"/>
        <w:gridCol w:w="1123"/>
        <w:gridCol w:w="1240"/>
        <w:gridCol w:w="1052"/>
        <w:gridCol w:w="1098"/>
        <w:gridCol w:w="1574"/>
        <w:gridCol w:w="124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54" w:type="pct"/>
            <w:tcBorders>
              <w:tl2br w:val="nil"/>
              <w:tr2bl w:val="nil"/>
            </w:tcBorders>
            <w:noWrap w:val="0"/>
            <w:vAlign w:val="center"/>
          </w:tcPr>
          <w:p>
            <w:pPr>
              <w:pStyle w:val="18"/>
              <w:bidi w:val="0"/>
              <w:jc w:val="center"/>
              <w:rPr>
                <w:rFonts w:hint="eastAsia" w:ascii="黑体" w:hAnsi="黑体" w:eastAsia="黑体" w:cs="黑体"/>
              </w:rPr>
            </w:pPr>
            <w:r>
              <w:rPr>
                <w:rFonts w:hint="eastAsia" w:ascii="黑体" w:hAnsi="黑体" w:eastAsia="黑体" w:cs="黑体"/>
              </w:rPr>
              <w:t>检查</w:t>
            </w:r>
            <w:r>
              <w:rPr>
                <w:rFonts w:hint="eastAsia" w:ascii="黑体" w:hAnsi="黑体" w:eastAsia="黑体" w:cs="黑体"/>
                <w:lang w:eastAsia="zh-CN"/>
              </w:rPr>
              <w:t>安评报告</w:t>
            </w:r>
            <w:r>
              <w:rPr>
                <w:rFonts w:hint="eastAsia" w:ascii="黑体" w:hAnsi="黑体" w:eastAsia="黑体" w:cs="黑体"/>
              </w:rPr>
              <w:t>数量</w:t>
            </w:r>
          </w:p>
          <w:p>
            <w:pPr>
              <w:pStyle w:val="18"/>
              <w:bidi w:val="0"/>
              <w:jc w:val="center"/>
              <w:rPr>
                <w:rFonts w:hint="eastAsia" w:ascii="黑体" w:hAnsi="黑体" w:eastAsia="黑体" w:cs="黑体"/>
                <w:lang w:val="en-US" w:eastAsia="zh-CN"/>
              </w:rPr>
            </w:pPr>
            <w:r>
              <w:rPr>
                <w:rFonts w:hint="eastAsia" w:ascii="黑体" w:hAnsi="黑体" w:eastAsia="黑体" w:cs="黑体"/>
              </w:rPr>
              <w:t>（</w:t>
            </w:r>
            <w:r>
              <w:rPr>
                <w:rFonts w:hint="eastAsia" w:ascii="黑体" w:hAnsi="黑体" w:eastAsia="黑体" w:cs="黑体"/>
                <w:lang w:eastAsia="zh-CN"/>
              </w:rPr>
              <w:t>个</w:t>
            </w:r>
            <w:r>
              <w:rPr>
                <w:rFonts w:hint="eastAsia" w:ascii="黑体" w:hAnsi="黑体" w:eastAsia="黑体" w:cs="黑体"/>
              </w:rPr>
              <w:t>）</w:t>
            </w:r>
          </w:p>
        </w:tc>
        <w:tc>
          <w:tcPr>
            <w:tcW w:w="454" w:type="pct"/>
            <w:tcBorders>
              <w:tl2br w:val="nil"/>
              <w:tr2bl w:val="nil"/>
            </w:tcBorders>
            <w:noWrap w:val="0"/>
            <w:vAlign w:val="center"/>
          </w:tcPr>
          <w:p>
            <w:pPr>
              <w:pStyle w:val="18"/>
              <w:bidi w:val="0"/>
              <w:jc w:val="center"/>
              <w:rPr>
                <w:rFonts w:hint="eastAsia" w:ascii="黑体" w:hAnsi="黑体" w:eastAsia="黑体" w:cs="黑体"/>
                <w:lang w:val="en-US" w:eastAsia="zh-CN"/>
              </w:rPr>
            </w:pPr>
            <w:r>
              <w:rPr>
                <w:rFonts w:hint="eastAsia" w:ascii="黑体" w:hAnsi="黑体" w:eastAsia="黑体" w:cs="黑体"/>
              </w:rPr>
              <w:t>检查发 现一般 违法行 为数量 （项）</w:t>
            </w:r>
          </w:p>
        </w:tc>
        <w:tc>
          <w:tcPr>
            <w:tcW w:w="563" w:type="pct"/>
            <w:tcBorders>
              <w:tl2br w:val="nil"/>
              <w:tr2bl w:val="nil"/>
            </w:tcBorders>
            <w:noWrap w:val="0"/>
            <w:vAlign w:val="center"/>
          </w:tcPr>
          <w:p>
            <w:pPr>
              <w:pStyle w:val="18"/>
              <w:bidi w:val="0"/>
              <w:jc w:val="center"/>
              <w:rPr>
                <w:rFonts w:hint="eastAsia" w:ascii="黑体" w:hAnsi="黑体" w:eastAsia="黑体" w:cs="黑体"/>
                <w:lang w:val="en-US" w:eastAsia="zh-CN"/>
              </w:rPr>
            </w:pPr>
            <w:r>
              <w:rPr>
                <w:rFonts w:hint="eastAsia" w:ascii="黑体" w:hAnsi="黑体" w:eastAsia="黑体" w:cs="黑体"/>
              </w:rPr>
              <w:t>检查发现出具虚假报告等重大违法 行为数量（项）</w:t>
            </w:r>
          </w:p>
        </w:tc>
        <w:tc>
          <w:tcPr>
            <w:tcW w:w="412" w:type="pct"/>
            <w:tcBorders>
              <w:tl2br w:val="nil"/>
              <w:tr2bl w:val="nil"/>
            </w:tcBorders>
            <w:noWrap w:val="0"/>
            <w:vAlign w:val="center"/>
          </w:tcPr>
          <w:p>
            <w:pPr>
              <w:pStyle w:val="18"/>
              <w:bidi w:val="0"/>
              <w:jc w:val="center"/>
              <w:rPr>
                <w:rFonts w:hint="eastAsia" w:ascii="黑体" w:hAnsi="黑体" w:eastAsia="黑体" w:cs="黑体"/>
              </w:rPr>
            </w:pPr>
            <w:r>
              <w:rPr>
                <w:rFonts w:hint="eastAsia" w:ascii="黑体" w:hAnsi="黑体" w:eastAsia="黑体" w:cs="黑体"/>
              </w:rPr>
              <w:t>下达执</w:t>
            </w:r>
          </w:p>
          <w:p>
            <w:pPr>
              <w:pStyle w:val="18"/>
              <w:bidi w:val="0"/>
              <w:jc w:val="center"/>
              <w:rPr>
                <w:rFonts w:hint="eastAsia" w:ascii="黑体" w:hAnsi="黑体" w:eastAsia="黑体" w:cs="黑体"/>
              </w:rPr>
            </w:pPr>
            <w:r>
              <w:rPr>
                <w:rFonts w:hint="eastAsia" w:ascii="黑体" w:hAnsi="黑体" w:eastAsia="黑体" w:cs="黑体"/>
              </w:rPr>
              <w:t>法文书</w:t>
            </w:r>
          </w:p>
          <w:p>
            <w:pPr>
              <w:pStyle w:val="18"/>
              <w:bidi w:val="0"/>
              <w:jc w:val="center"/>
              <w:rPr>
                <w:rFonts w:hint="eastAsia" w:ascii="黑体" w:hAnsi="黑体" w:eastAsia="黑体" w:cs="黑体"/>
                <w:lang w:val="en-US" w:eastAsia="zh-CN"/>
              </w:rPr>
            </w:pPr>
            <w:r>
              <w:rPr>
                <w:rFonts w:hint="eastAsia" w:ascii="黑体" w:hAnsi="黑体" w:eastAsia="黑体" w:cs="黑体"/>
              </w:rPr>
              <w:t>（份）</w:t>
            </w:r>
          </w:p>
        </w:tc>
        <w:tc>
          <w:tcPr>
            <w:tcW w:w="429" w:type="pct"/>
            <w:tcBorders>
              <w:tl2br w:val="nil"/>
              <w:tr2bl w:val="nil"/>
            </w:tcBorders>
            <w:noWrap w:val="0"/>
            <w:vAlign w:val="center"/>
          </w:tcPr>
          <w:p>
            <w:pPr>
              <w:pStyle w:val="18"/>
              <w:bidi w:val="0"/>
              <w:jc w:val="center"/>
              <w:rPr>
                <w:rFonts w:hint="eastAsia" w:ascii="黑体" w:hAnsi="黑体" w:eastAsia="黑体" w:cs="黑体"/>
                <w:lang w:val="en-US" w:eastAsia="zh-CN"/>
              </w:rPr>
            </w:pPr>
            <w:r>
              <w:rPr>
                <w:rFonts w:hint="eastAsia" w:ascii="黑体" w:hAnsi="黑体" w:eastAsia="黑体" w:cs="黑体"/>
              </w:rPr>
              <w:t>行政处罚（次）</w:t>
            </w:r>
          </w:p>
        </w:tc>
        <w:tc>
          <w:tcPr>
            <w:tcW w:w="411" w:type="pct"/>
            <w:tcBorders>
              <w:tl2br w:val="nil"/>
              <w:tr2bl w:val="nil"/>
            </w:tcBorders>
            <w:noWrap w:val="0"/>
            <w:vAlign w:val="center"/>
          </w:tcPr>
          <w:p>
            <w:pPr>
              <w:pStyle w:val="18"/>
              <w:bidi w:val="0"/>
              <w:jc w:val="center"/>
              <w:rPr>
                <w:rFonts w:hint="eastAsia" w:ascii="黑体" w:hAnsi="黑体" w:eastAsia="黑体" w:cs="黑体"/>
              </w:rPr>
            </w:pPr>
            <w:r>
              <w:rPr>
                <w:rFonts w:hint="eastAsia" w:ascii="黑体" w:hAnsi="黑体" w:eastAsia="黑体" w:cs="黑体"/>
              </w:rPr>
              <w:t>罚款</w:t>
            </w:r>
          </w:p>
          <w:p>
            <w:pPr>
              <w:pStyle w:val="18"/>
              <w:bidi w:val="0"/>
              <w:jc w:val="center"/>
              <w:rPr>
                <w:rFonts w:hint="eastAsia" w:ascii="黑体" w:hAnsi="黑体" w:eastAsia="黑体" w:cs="黑体"/>
                <w:lang w:val="en-US" w:eastAsia="zh-CN"/>
              </w:rPr>
            </w:pPr>
            <w:r>
              <w:rPr>
                <w:rFonts w:hint="eastAsia" w:ascii="黑体" w:hAnsi="黑体" w:eastAsia="黑体" w:cs="黑体"/>
              </w:rPr>
              <w:t>（万元）</w:t>
            </w:r>
          </w:p>
        </w:tc>
        <w:tc>
          <w:tcPr>
            <w:tcW w:w="454" w:type="pct"/>
            <w:tcBorders>
              <w:tl2br w:val="nil"/>
              <w:tr2bl w:val="nil"/>
            </w:tcBorders>
            <w:noWrap w:val="0"/>
            <w:vAlign w:val="center"/>
          </w:tcPr>
          <w:p>
            <w:pPr>
              <w:pStyle w:val="18"/>
              <w:bidi w:val="0"/>
              <w:jc w:val="center"/>
              <w:rPr>
                <w:rFonts w:hint="eastAsia" w:ascii="黑体" w:hAnsi="黑体" w:eastAsia="黑体" w:cs="黑体"/>
                <w:lang w:val="en-US" w:eastAsia="zh-CN"/>
              </w:rPr>
            </w:pPr>
            <w:r>
              <w:rPr>
                <w:rFonts w:hint="eastAsia" w:ascii="黑体" w:hAnsi="黑体" w:eastAsia="黑体" w:cs="黑体"/>
              </w:rPr>
              <w:t>责令停 业整顿 （家次）</w:t>
            </w:r>
          </w:p>
        </w:tc>
        <w:tc>
          <w:tcPr>
            <w:tcW w:w="385" w:type="pct"/>
            <w:tcBorders>
              <w:tl2br w:val="nil"/>
              <w:tr2bl w:val="nil"/>
            </w:tcBorders>
            <w:noWrap w:val="0"/>
            <w:vAlign w:val="center"/>
          </w:tcPr>
          <w:p>
            <w:pPr>
              <w:pStyle w:val="18"/>
              <w:bidi w:val="0"/>
              <w:jc w:val="center"/>
              <w:rPr>
                <w:rFonts w:hint="eastAsia" w:ascii="黑体" w:hAnsi="黑体" w:eastAsia="黑体" w:cs="黑体"/>
                <w:lang w:val="en-US" w:eastAsia="zh-CN"/>
              </w:rPr>
            </w:pPr>
            <w:r>
              <w:rPr>
                <w:rFonts w:hint="eastAsia" w:ascii="黑体" w:hAnsi="黑体" w:eastAsia="黑体" w:cs="黑体"/>
              </w:rPr>
              <w:t>吊销评 价机构 资质证 书（个）</w:t>
            </w:r>
          </w:p>
        </w:tc>
        <w:tc>
          <w:tcPr>
            <w:tcW w:w="402" w:type="pct"/>
            <w:tcBorders>
              <w:tl2br w:val="nil"/>
              <w:tr2bl w:val="nil"/>
            </w:tcBorders>
            <w:noWrap w:val="0"/>
            <w:vAlign w:val="center"/>
          </w:tcPr>
          <w:p>
            <w:pPr>
              <w:pStyle w:val="18"/>
              <w:bidi w:val="0"/>
              <w:jc w:val="center"/>
              <w:rPr>
                <w:rFonts w:hint="eastAsia" w:ascii="黑体" w:hAnsi="黑体" w:eastAsia="黑体" w:cs="黑体"/>
              </w:rPr>
            </w:pPr>
            <w:r>
              <w:rPr>
                <w:rFonts w:hint="eastAsia" w:ascii="黑体" w:hAnsi="黑体" w:eastAsia="黑体" w:cs="黑体"/>
              </w:rPr>
              <w:t xml:space="preserve">纳入 </w:t>
            </w:r>
            <w:r>
              <w:rPr>
                <w:rFonts w:hint="eastAsia" w:ascii="黑体" w:hAnsi="黑体" w:eastAsia="黑体" w:cs="黑体"/>
                <w:lang w:val="zh-CN" w:eastAsia="zh-CN"/>
              </w:rPr>
              <w:t>“黑名</w:t>
            </w:r>
          </w:p>
          <w:p>
            <w:pPr>
              <w:pStyle w:val="18"/>
              <w:bidi w:val="0"/>
              <w:jc w:val="center"/>
              <w:rPr>
                <w:rFonts w:hint="eastAsia" w:ascii="黑体" w:hAnsi="黑体" w:eastAsia="黑体" w:cs="黑体"/>
                <w:lang w:val="en-US" w:eastAsia="zh-CN"/>
              </w:rPr>
            </w:pPr>
            <w:r>
              <w:rPr>
                <w:rFonts w:hint="eastAsia" w:ascii="黑体" w:hAnsi="黑体" w:eastAsia="黑体" w:cs="黑体"/>
                <w:lang w:eastAsia="zh-CN"/>
              </w:rPr>
              <w:t>单”（家</w:t>
            </w:r>
            <w:r>
              <w:rPr>
                <w:rFonts w:hint="eastAsia" w:ascii="黑体" w:hAnsi="黑体" w:eastAsia="黑体" w:cs="黑体"/>
              </w:rPr>
              <w:t>）</w:t>
            </w:r>
          </w:p>
        </w:tc>
        <w:tc>
          <w:tcPr>
            <w:tcW w:w="576" w:type="pct"/>
            <w:tcBorders>
              <w:tl2br w:val="nil"/>
              <w:tr2bl w:val="nil"/>
            </w:tcBorders>
            <w:noWrap w:val="0"/>
            <w:vAlign w:val="center"/>
          </w:tcPr>
          <w:p>
            <w:pPr>
              <w:pStyle w:val="18"/>
              <w:bidi w:val="0"/>
              <w:jc w:val="center"/>
              <w:rPr>
                <w:rFonts w:hint="eastAsia" w:ascii="黑体" w:hAnsi="黑体" w:eastAsia="黑体" w:cs="黑体"/>
                <w:lang w:val="en-US" w:eastAsia="zh-CN"/>
              </w:rPr>
            </w:pPr>
            <w:r>
              <w:rPr>
                <w:rFonts w:hint="eastAsia" w:ascii="黑体" w:hAnsi="黑体" w:eastAsia="黑体" w:cs="黑体"/>
                <w:lang w:eastAsia="zh-CN"/>
              </w:rPr>
              <w:t>对采信虚假报告的行政许可依法处理数量（家次）</w:t>
            </w:r>
          </w:p>
        </w:tc>
        <w:tc>
          <w:tcPr>
            <w:tcW w:w="454" w:type="pct"/>
            <w:tcBorders>
              <w:tl2br w:val="nil"/>
              <w:tr2bl w:val="nil"/>
            </w:tcBorders>
            <w:noWrap w:val="0"/>
            <w:vAlign w:val="center"/>
          </w:tcPr>
          <w:p>
            <w:pPr>
              <w:pStyle w:val="18"/>
              <w:bidi w:val="0"/>
              <w:jc w:val="center"/>
              <w:rPr>
                <w:rFonts w:hint="eastAsia" w:ascii="黑体" w:hAnsi="黑体" w:eastAsia="黑体" w:cs="黑体"/>
              </w:rPr>
            </w:pPr>
            <w:r>
              <w:rPr>
                <w:rFonts w:hint="eastAsia" w:ascii="黑体" w:hAnsi="黑体" w:eastAsia="黑体" w:cs="黑体"/>
              </w:rPr>
              <w:t>媒体曝 光（家</w:t>
            </w:r>
          </w:p>
          <w:p>
            <w:pPr>
              <w:pStyle w:val="18"/>
              <w:bidi w:val="0"/>
              <w:jc w:val="center"/>
              <w:rPr>
                <w:rFonts w:hint="eastAsia" w:ascii="黑体" w:hAnsi="黑体" w:eastAsia="黑体" w:cs="黑体"/>
                <w:lang w:val="en-US" w:eastAsia="zh-CN"/>
              </w:rPr>
            </w:pPr>
            <w:r>
              <w:rPr>
                <w:rFonts w:hint="eastAsia" w:ascii="黑体" w:hAnsi="黑体" w:eastAsia="黑体" w:cs="黑体"/>
              </w:rPr>
              <w:t>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54" w:type="pct"/>
            <w:tcBorders>
              <w:tl2br w:val="nil"/>
              <w:tr2bl w:val="nil"/>
            </w:tcBorders>
            <w:noWrap w:val="0"/>
            <w:vAlign w:val="top"/>
          </w:tcPr>
          <w:p>
            <w:pPr>
              <w:pStyle w:val="18"/>
              <w:bidi w:val="0"/>
              <w:rPr>
                <w:rFonts w:hint="default"/>
                <w:lang w:val="en-US" w:eastAsia="zh-CN"/>
              </w:rPr>
            </w:pPr>
          </w:p>
        </w:tc>
        <w:tc>
          <w:tcPr>
            <w:tcW w:w="454" w:type="pct"/>
            <w:tcBorders>
              <w:tl2br w:val="nil"/>
              <w:tr2bl w:val="nil"/>
            </w:tcBorders>
            <w:noWrap w:val="0"/>
            <w:vAlign w:val="top"/>
          </w:tcPr>
          <w:p>
            <w:pPr>
              <w:pStyle w:val="18"/>
              <w:bidi w:val="0"/>
              <w:rPr>
                <w:rFonts w:hint="default"/>
                <w:lang w:val="en-US" w:eastAsia="zh-CN"/>
              </w:rPr>
            </w:pPr>
          </w:p>
        </w:tc>
        <w:tc>
          <w:tcPr>
            <w:tcW w:w="563" w:type="pct"/>
            <w:tcBorders>
              <w:tl2br w:val="nil"/>
              <w:tr2bl w:val="nil"/>
            </w:tcBorders>
            <w:noWrap w:val="0"/>
            <w:vAlign w:val="top"/>
          </w:tcPr>
          <w:p>
            <w:pPr>
              <w:pStyle w:val="18"/>
              <w:bidi w:val="0"/>
              <w:rPr>
                <w:rFonts w:hint="default"/>
                <w:lang w:val="en-US" w:eastAsia="zh-CN"/>
              </w:rPr>
            </w:pPr>
          </w:p>
        </w:tc>
        <w:tc>
          <w:tcPr>
            <w:tcW w:w="412" w:type="pct"/>
            <w:tcBorders>
              <w:tl2br w:val="nil"/>
              <w:tr2bl w:val="nil"/>
            </w:tcBorders>
            <w:noWrap w:val="0"/>
            <w:vAlign w:val="top"/>
          </w:tcPr>
          <w:p>
            <w:pPr>
              <w:pStyle w:val="18"/>
              <w:bidi w:val="0"/>
              <w:rPr>
                <w:rFonts w:hint="default"/>
                <w:lang w:val="en-US" w:eastAsia="zh-CN"/>
              </w:rPr>
            </w:pPr>
          </w:p>
        </w:tc>
        <w:tc>
          <w:tcPr>
            <w:tcW w:w="429" w:type="pct"/>
            <w:tcBorders>
              <w:tl2br w:val="nil"/>
              <w:tr2bl w:val="nil"/>
            </w:tcBorders>
            <w:noWrap w:val="0"/>
            <w:vAlign w:val="top"/>
          </w:tcPr>
          <w:p>
            <w:pPr>
              <w:pStyle w:val="18"/>
              <w:bidi w:val="0"/>
              <w:rPr>
                <w:rFonts w:hint="default"/>
                <w:lang w:val="en-US" w:eastAsia="zh-CN"/>
              </w:rPr>
            </w:pPr>
          </w:p>
        </w:tc>
        <w:tc>
          <w:tcPr>
            <w:tcW w:w="411" w:type="pct"/>
            <w:tcBorders>
              <w:tl2br w:val="nil"/>
              <w:tr2bl w:val="nil"/>
            </w:tcBorders>
            <w:noWrap w:val="0"/>
            <w:vAlign w:val="top"/>
          </w:tcPr>
          <w:p>
            <w:pPr>
              <w:pStyle w:val="18"/>
              <w:bidi w:val="0"/>
              <w:rPr>
                <w:rFonts w:hint="default"/>
                <w:lang w:val="en-US" w:eastAsia="zh-CN"/>
              </w:rPr>
            </w:pPr>
          </w:p>
        </w:tc>
        <w:tc>
          <w:tcPr>
            <w:tcW w:w="454" w:type="pct"/>
            <w:tcBorders>
              <w:tl2br w:val="nil"/>
              <w:tr2bl w:val="nil"/>
            </w:tcBorders>
            <w:noWrap w:val="0"/>
            <w:vAlign w:val="top"/>
          </w:tcPr>
          <w:p>
            <w:pPr>
              <w:pStyle w:val="18"/>
              <w:bidi w:val="0"/>
              <w:rPr>
                <w:rFonts w:hint="default"/>
                <w:lang w:val="en-US" w:eastAsia="zh-CN"/>
              </w:rPr>
            </w:pPr>
          </w:p>
        </w:tc>
        <w:tc>
          <w:tcPr>
            <w:tcW w:w="385" w:type="pct"/>
            <w:tcBorders>
              <w:tl2br w:val="nil"/>
              <w:tr2bl w:val="nil"/>
            </w:tcBorders>
            <w:noWrap w:val="0"/>
            <w:vAlign w:val="top"/>
          </w:tcPr>
          <w:p>
            <w:pPr>
              <w:pStyle w:val="18"/>
              <w:bidi w:val="0"/>
              <w:rPr>
                <w:rFonts w:hint="default"/>
                <w:lang w:val="en-US" w:eastAsia="zh-CN"/>
              </w:rPr>
            </w:pPr>
          </w:p>
        </w:tc>
        <w:tc>
          <w:tcPr>
            <w:tcW w:w="402" w:type="pct"/>
            <w:tcBorders>
              <w:tl2br w:val="nil"/>
              <w:tr2bl w:val="nil"/>
            </w:tcBorders>
            <w:noWrap w:val="0"/>
            <w:vAlign w:val="top"/>
          </w:tcPr>
          <w:p>
            <w:pPr>
              <w:pStyle w:val="18"/>
              <w:bidi w:val="0"/>
              <w:rPr>
                <w:rFonts w:hint="default"/>
                <w:lang w:val="en-US" w:eastAsia="zh-CN"/>
              </w:rPr>
            </w:pPr>
          </w:p>
        </w:tc>
        <w:tc>
          <w:tcPr>
            <w:tcW w:w="576" w:type="pct"/>
            <w:tcBorders>
              <w:tl2br w:val="nil"/>
              <w:tr2bl w:val="nil"/>
            </w:tcBorders>
            <w:noWrap w:val="0"/>
            <w:vAlign w:val="top"/>
          </w:tcPr>
          <w:p>
            <w:pPr>
              <w:pStyle w:val="18"/>
              <w:bidi w:val="0"/>
              <w:rPr>
                <w:rFonts w:hint="default"/>
                <w:lang w:val="en-US" w:eastAsia="zh-CN"/>
              </w:rPr>
            </w:pPr>
          </w:p>
        </w:tc>
        <w:tc>
          <w:tcPr>
            <w:tcW w:w="454" w:type="pct"/>
            <w:tcBorders>
              <w:tl2br w:val="nil"/>
              <w:tr2bl w:val="nil"/>
            </w:tcBorders>
            <w:noWrap w:val="0"/>
            <w:vAlign w:val="top"/>
          </w:tcPr>
          <w:p>
            <w:pPr>
              <w:pStyle w:val="18"/>
              <w:bidi w:val="0"/>
              <w:rPr>
                <w:rFonts w:hint="default"/>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54" w:type="pct"/>
            <w:tcBorders>
              <w:tl2br w:val="nil"/>
              <w:tr2bl w:val="nil"/>
            </w:tcBorders>
            <w:noWrap w:val="0"/>
            <w:vAlign w:val="top"/>
          </w:tcPr>
          <w:p>
            <w:pPr>
              <w:pStyle w:val="18"/>
              <w:bidi w:val="0"/>
              <w:rPr>
                <w:rFonts w:hint="default"/>
                <w:lang w:val="en-US" w:eastAsia="zh-CN"/>
              </w:rPr>
            </w:pPr>
          </w:p>
        </w:tc>
        <w:tc>
          <w:tcPr>
            <w:tcW w:w="454" w:type="pct"/>
            <w:tcBorders>
              <w:tl2br w:val="nil"/>
              <w:tr2bl w:val="nil"/>
            </w:tcBorders>
            <w:noWrap w:val="0"/>
            <w:vAlign w:val="top"/>
          </w:tcPr>
          <w:p>
            <w:pPr>
              <w:pStyle w:val="18"/>
              <w:bidi w:val="0"/>
              <w:rPr>
                <w:rFonts w:hint="default"/>
                <w:lang w:val="en-US" w:eastAsia="zh-CN"/>
              </w:rPr>
            </w:pPr>
          </w:p>
        </w:tc>
        <w:tc>
          <w:tcPr>
            <w:tcW w:w="563" w:type="pct"/>
            <w:tcBorders>
              <w:tl2br w:val="nil"/>
              <w:tr2bl w:val="nil"/>
            </w:tcBorders>
            <w:noWrap w:val="0"/>
            <w:vAlign w:val="top"/>
          </w:tcPr>
          <w:p>
            <w:pPr>
              <w:pStyle w:val="18"/>
              <w:bidi w:val="0"/>
              <w:rPr>
                <w:rFonts w:hint="default"/>
                <w:lang w:val="en-US" w:eastAsia="zh-CN"/>
              </w:rPr>
            </w:pPr>
          </w:p>
        </w:tc>
        <w:tc>
          <w:tcPr>
            <w:tcW w:w="412" w:type="pct"/>
            <w:tcBorders>
              <w:tl2br w:val="nil"/>
              <w:tr2bl w:val="nil"/>
            </w:tcBorders>
            <w:noWrap w:val="0"/>
            <w:vAlign w:val="top"/>
          </w:tcPr>
          <w:p>
            <w:pPr>
              <w:pStyle w:val="18"/>
              <w:bidi w:val="0"/>
              <w:rPr>
                <w:rFonts w:hint="default"/>
                <w:lang w:val="en-US" w:eastAsia="zh-CN"/>
              </w:rPr>
            </w:pPr>
          </w:p>
        </w:tc>
        <w:tc>
          <w:tcPr>
            <w:tcW w:w="429" w:type="pct"/>
            <w:tcBorders>
              <w:tl2br w:val="nil"/>
              <w:tr2bl w:val="nil"/>
            </w:tcBorders>
            <w:noWrap w:val="0"/>
            <w:vAlign w:val="top"/>
          </w:tcPr>
          <w:p>
            <w:pPr>
              <w:pStyle w:val="18"/>
              <w:bidi w:val="0"/>
              <w:rPr>
                <w:rFonts w:hint="default"/>
                <w:lang w:val="en-US" w:eastAsia="zh-CN"/>
              </w:rPr>
            </w:pPr>
          </w:p>
        </w:tc>
        <w:tc>
          <w:tcPr>
            <w:tcW w:w="411" w:type="pct"/>
            <w:tcBorders>
              <w:tl2br w:val="nil"/>
              <w:tr2bl w:val="nil"/>
            </w:tcBorders>
            <w:noWrap w:val="0"/>
            <w:vAlign w:val="top"/>
          </w:tcPr>
          <w:p>
            <w:pPr>
              <w:pStyle w:val="18"/>
              <w:bidi w:val="0"/>
              <w:rPr>
                <w:rFonts w:hint="default"/>
                <w:lang w:val="en-US" w:eastAsia="zh-CN"/>
              </w:rPr>
            </w:pPr>
          </w:p>
        </w:tc>
        <w:tc>
          <w:tcPr>
            <w:tcW w:w="454" w:type="pct"/>
            <w:tcBorders>
              <w:tl2br w:val="nil"/>
              <w:tr2bl w:val="nil"/>
            </w:tcBorders>
            <w:noWrap w:val="0"/>
            <w:vAlign w:val="top"/>
          </w:tcPr>
          <w:p>
            <w:pPr>
              <w:pStyle w:val="18"/>
              <w:bidi w:val="0"/>
              <w:rPr>
                <w:rFonts w:hint="default"/>
                <w:lang w:val="en-US" w:eastAsia="zh-CN"/>
              </w:rPr>
            </w:pPr>
          </w:p>
        </w:tc>
        <w:tc>
          <w:tcPr>
            <w:tcW w:w="385" w:type="pct"/>
            <w:tcBorders>
              <w:tl2br w:val="nil"/>
              <w:tr2bl w:val="nil"/>
            </w:tcBorders>
            <w:noWrap w:val="0"/>
            <w:vAlign w:val="top"/>
          </w:tcPr>
          <w:p>
            <w:pPr>
              <w:pStyle w:val="18"/>
              <w:bidi w:val="0"/>
              <w:rPr>
                <w:rFonts w:hint="default"/>
                <w:lang w:val="en-US" w:eastAsia="zh-CN"/>
              </w:rPr>
            </w:pPr>
          </w:p>
        </w:tc>
        <w:tc>
          <w:tcPr>
            <w:tcW w:w="402" w:type="pct"/>
            <w:tcBorders>
              <w:tl2br w:val="nil"/>
              <w:tr2bl w:val="nil"/>
            </w:tcBorders>
            <w:noWrap w:val="0"/>
            <w:vAlign w:val="top"/>
          </w:tcPr>
          <w:p>
            <w:pPr>
              <w:pStyle w:val="18"/>
              <w:bidi w:val="0"/>
              <w:rPr>
                <w:rFonts w:hint="default"/>
                <w:lang w:val="en-US" w:eastAsia="zh-CN"/>
              </w:rPr>
            </w:pPr>
          </w:p>
        </w:tc>
        <w:tc>
          <w:tcPr>
            <w:tcW w:w="576" w:type="pct"/>
            <w:tcBorders>
              <w:tl2br w:val="nil"/>
              <w:tr2bl w:val="nil"/>
            </w:tcBorders>
            <w:noWrap w:val="0"/>
            <w:vAlign w:val="top"/>
          </w:tcPr>
          <w:p>
            <w:pPr>
              <w:pStyle w:val="18"/>
              <w:bidi w:val="0"/>
              <w:rPr>
                <w:rFonts w:hint="default"/>
                <w:lang w:val="en-US" w:eastAsia="zh-CN"/>
              </w:rPr>
            </w:pPr>
          </w:p>
        </w:tc>
        <w:tc>
          <w:tcPr>
            <w:tcW w:w="454" w:type="pct"/>
            <w:tcBorders>
              <w:tl2br w:val="nil"/>
              <w:tr2bl w:val="nil"/>
            </w:tcBorders>
            <w:noWrap w:val="0"/>
            <w:vAlign w:val="top"/>
          </w:tcPr>
          <w:p>
            <w:pPr>
              <w:pStyle w:val="18"/>
              <w:bidi w:val="0"/>
              <w:rPr>
                <w:rFonts w:hint="default"/>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54" w:type="pct"/>
            <w:tcBorders>
              <w:tl2br w:val="nil"/>
              <w:tr2bl w:val="nil"/>
            </w:tcBorders>
            <w:noWrap w:val="0"/>
            <w:vAlign w:val="top"/>
          </w:tcPr>
          <w:p>
            <w:pPr>
              <w:pStyle w:val="18"/>
              <w:bidi w:val="0"/>
              <w:rPr>
                <w:rFonts w:hint="default"/>
                <w:lang w:val="en-US" w:eastAsia="zh-CN"/>
              </w:rPr>
            </w:pPr>
          </w:p>
        </w:tc>
        <w:tc>
          <w:tcPr>
            <w:tcW w:w="454" w:type="pct"/>
            <w:tcBorders>
              <w:tl2br w:val="nil"/>
              <w:tr2bl w:val="nil"/>
            </w:tcBorders>
            <w:noWrap w:val="0"/>
            <w:vAlign w:val="top"/>
          </w:tcPr>
          <w:p>
            <w:pPr>
              <w:pStyle w:val="18"/>
              <w:bidi w:val="0"/>
              <w:rPr>
                <w:rFonts w:hint="default"/>
                <w:lang w:val="en-US" w:eastAsia="zh-CN"/>
              </w:rPr>
            </w:pPr>
          </w:p>
        </w:tc>
        <w:tc>
          <w:tcPr>
            <w:tcW w:w="563" w:type="pct"/>
            <w:tcBorders>
              <w:tl2br w:val="nil"/>
              <w:tr2bl w:val="nil"/>
            </w:tcBorders>
            <w:noWrap w:val="0"/>
            <w:vAlign w:val="top"/>
          </w:tcPr>
          <w:p>
            <w:pPr>
              <w:pStyle w:val="18"/>
              <w:bidi w:val="0"/>
              <w:rPr>
                <w:rFonts w:hint="default"/>
                <w:lang w:val="en-US" w:eastAsia="zh-CN"/>
              </w:rPr>
            </w:pPr>
          </w:p>
        </w:tc>
        <w:tc>
          <w:tcPr>
            <w:tcW w:w="412" w:type="pct"/>
            <w:tcBorders>
              <w:tl2br w:val="nil"/>
              <w:tr2bl w:val="nil"/>
            </w:tcBorders>
            <w:noWrap w:val="0"/>
            <w:vAlign w:val="top"/>
          </w:tcPr>
          <w:p>
            <w:pPr>
              <w:pStyle w:val="18"/>
              <w:bidi w:val="0"/>
              <w:rPr>
                <w:rFonts w:hint="default"/>
                <w:lang w:val="en-US" w:eastAsia="zh-CN"/>
              </w:rPr>
            </w:pPr>
          </w:p>
        </w:tc>
        <w:tc>
          <w:tcPr>
            <w:tcW w:w="429" w:type="pct"/>
            <w:tcBorders>
              <w:tl2br w:val="nil"/>
              <w:tr2bl w:val="nil"/>
            </w:tcBorders>
            <w:noWrap w:val="0"/>
            <w:vAlign w:val="top"/>
          </w:tcPr>
          <w:p>
            <w:pPr>
              <w:pStyle w:val="18"/>
              <w:bidi w:val="0"/>
              <w:rPr>
                <w:rFonts w:hint="default"/>
                <w:lang w:val="en-US" w:eastAsia="zh-CN"/>
              </w:rPr>
            </w:pPr>
          </w:p>
        </w:tc>
        <w:tc>
          <w:tcPr>
            <w:tcW w:w="411" w:type="pct"/>
            <w:tcBorders>
              <w:tl2br w:val="nil"/>
              <w:tr2bl w:val="nil"/>
            </w:tcBorders>
            <w:noWrap w:val="0"/>
            <w:vAlign w:val="top"/>
          </w:tcPr>
          <w:p>
            <w:pPr>
              <w:pStyle w:val="18"/>
              <w:bidi w:val="0"/>
              <w:rPr>
                <w:rFonts w:hint="default"/>
                <w:lang w:val="en-US" w:eastAsia="zh-CN"/>
              </w:rPr>
            </w:pPr>
          </w:p>
        </w:tc>
        <w:tc>
          <w:tcPr>
            <w:tcW w:w="454" w:type="pct"/>
            <w:tcBorders>
              <w:tl2br w:val="nil"/>
              <w:tr2bl w:val="nil"/>
            </w:tcBorders>
            <w:noWrap w:val="0"/>
            <w:vAlign w:val="top"/>
          </w:tcPr>
          <w:p>
            <w:pPr>
              <w:pStyle w:val="18"/>
              <w:bidi w:val="0"/>
              <w:rPr>
                <w:rFonts w:hint="default"/>
                <w:lang w:val="en-US" w:eastAsia="zh-CN"/>
              </w:rPr>
            </w:pPr>
          </w:p>
        </w:tc>
        <w:tc>
          <w:tcPr>
            <w:tcW w:w="385" w:type="pct"/>
            <w:tcBorders>
              <w:tl2br w:val="nil"/>
              <w:tr2bl w:val="nil"/>
            </w:tcBorders>
            <w:noWrap w:val="0"/>
            <w:vAlign w:val="top"/>
          </w:tcPr>
          <w:p>
            <w:pPr>
              <w:pStyle w:val="18"/>
              <w:bidi w:val="0"/>
              <w:rPr>
                <w:rFonts w:hint="default"/>
                <w:lang w:val="en-US" w:eastAsia="zh-CN"/>
              </w:rPr>
            </w:pPr>
          </w:p>
        </w:tc>
        <w:tc>
          <w:tcPr>
            <w:tcW w:w="402" w:type="pct"/>
            <w:tcBorders>
              <w:tl2br w:val="nil"/>
              <w:tr2bl w:val="nil"/>
            </w:tcBorders>
            <w:noWrap w:val="0"/>
            <w:vAlign w:val="top"/>
          </w:tcPr>
          <w:p>
            <w:pPr>
              <w:pStyle w:val="18"/>
              <w:bidi w:val="0"/>
              <w:rPr>
                <w:rFonts w:hint="default"/>
                <w:lang w:val="en-US" w:eastAsia="zh-CN"/>
              </w:rPr>
            </w:pPr>
          </w:p>
        </w:tc>
        <w:tc>
          <w:tcPr>
            <w:tcW w:w="576" w:type="pct"/>
            <w:tcBorders>
              <w:tl2br w:val="nil"/>
              <w:tr2bl w:val="nil"/>
            </w:tcBorders>
            <w:noWrap w:val="0"/>
            <w:vAlign w:val="top"/>
          </w:tcPr>
          <w:p>
            <w:pPr>
              <w:pStyle w:val="18"/>
              <w:bidi w:val="0"/>
              <w:rPr>
                <w:rFonts w:hint="default"/>
                <w:lang w:val="en-US" w:eastAsia="zh-CN"/>
              </w:rPr>
            </w:pPr>
          </w:p>
        </w:tc>
        <w:tc>
          <w:tcPr>
            <w:tcW w:w="454" w:type="pct"/>
            <w:tcBorders>
              <w:tl2br w:val="nil"/>
              <w:tr2bl w:val="nil"/>
            </w:tcBorders>
            <w:noWrap w:val="0"/>
            <w:vAlign w:val="top"/>
          </w:tcPr>
          <w:p>
            <w:pPr>
              <w:pStyle w:val="18"/>
              <w:bidi w:val="0"/>
              <w:rPr>
                <w:rFonts w:hint="default"/>
                <w:lang w:val="en-US" w:eastAsia="zh-CN"/>
              </w:rPr>
            </w:pPr>
          </w:p>
        </w:tc>
      </w:tr>
    </w:tbl>
    <w:p>
      <w:pPr>
        <w:ind w:left="0" w:leftChars="0" w:firstLine="0" w:firstLineChars="0"/>
        <w:rPr>
          <w:rFonts w:hint="eastAsia"/>
        </w:rPr>
      </w:pPr>
      <w:r>
        <w:rPr>
          <w:rFonts w:hint="eastAsia"/>
        </w:rPr>
        <w:t>填报人：                                                                  联系电话：</w:t>
      </w:r>
    </w:p>
    <w:p>
      <w:pPr>
        <w:ind w:left="0" w:leftChars="0" w:firstLine="0" w:firstLineChars="0"/>
        <w:rPr>
          <w:rFonts w:hint="eastAsia"/>
        </w:rPr>
      </w:pPr>
      <w:r>
        <w:rPr>
          <w:rFonts w:hint="eastAsia"/>
        </w:rPr>
        <w:t>注：本表实行累计报送，每次统计“截止日期”前的累计汇总情况</w:t>
      </w:r>
    </w:p>
    <w:p>
      <w:pPr>
        <w:rPr>
          <w:rFonts w:hint="eastAsia"/>
        </w:rPr>
      </w:pPr>
    </w:p>
    <w:p>
      <w:pPr>
        <w:rPr>
          <w:rFonts w:hint="eastAsia"/>
        </w:rPr>
      </w:pPr>
      <w:r>
        <w:rPr>
          <w:rFonts w:hint="eastAsia"/>
        </w:rPr>
        <w:br w:type="page"/>
      </w:r>
    </w:p>
    <w:p>
      <w:pPr>
        <w:pStyle w:val="21"/>
        <w:bidi w:val="0"/>
        <w:rPr>
          <w:rFonts w:hint="eastAsia"/>
        </w:rPr>
      </w:pPr>
      <w:r>
        <w:rPr>
          <w:rFonts w:hint="eastAsia"/>
        </w:rPr>
        <w:t>附件3</w:t>
      </w:r>
    </w:p>
    <w:p>
      <w:pPr>
        <w:pStyle w:val="3"/>
        <w:bidi w:val="0"/>
        <w:rPr>
          <w:rFonts w:hint="eastAsia"/>
        </w:rPr>
      </w:pPr>
      <w:r>
        <w:rPr>
          <w:rFonts w:hint="eastAsia"/>
        </w:rPr>
        <w:t>专项检查处罚详情表</w:t>
      </w:r>
    </w:p>
    <w:p>
      <w:pPr>
        <w:rPr>
          <w:rFonts w:hint="eastAsia"/>
        </w:rPr>
      </w:pPr>
    </w:p>
    <w:tbl>
      <w:tblPr>
        <w:tblStyle w:val="10"/>
        <w:tblW w:w="4999" w:type="pct"/>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autofit"/>
        <w:tblCellMar>
          <w:top w:w="0" w:type="dxa"/>
          <w:left w:w="108" w:type="dxa"/>
          <w:bottom w:w="0" w:type="dxa"/>
          <w:right w:w="108" w:type="dxa"/>
        </w:tblCellMar>
      </w:tblPr>
      <w:tblGrid>
        <w:gridCol w:w="865"/>
        <w:gridCol w:w="796"/>
        <w:gridCol w:w="1844"/>
        <w:gridCol w:w="1055"/>
        <w:gridCol w:w="2519"/>
        <w:gridCol w:w="2606"/>
        <w:gridCol w:w="1959"/>
        <w:gridCol w:w="2005"/>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80" w:hRule="atLeast"/>
          <w:tblHeader/>
          <w:jc w:val="center"/>
        </w:trPr>
        <w:tc>
          <w:tcPr>
            <w:tcW w:w="597" w:type="pct"/>
            <w:gridSpan w:val="2"/>
            <w:tcBorders>
              <w:tl2br w:val="nil"/>
              <w:tr2bl w:val="nil"/>
            </w:tcBorders>
            <w:noWrap/>
            <w:vAlign w:val="center"/>
          </w:tcPr>
          <w:p>
            <w:pPr>
              <w:pStyle w:val="18"/>
              <w:bidi w:val="0"/>
              <w:jc w:val="center"/>
              <w:rPr>
                <w:rFonts w:hint="eastAsia" w:ascii="黑体" w:hAnsi="黑体" w:eastAsia="黑体" w:cs="黑体"/>
              </w:rPr>
            </w:pPr>
            <w:r>
              <w:rPr>
                <w:rFonts w:hint="eastAsia" w:ascii="黑体" w:hAnsi="黑体" w:eastAsia="黑体" w:cs="黑体"/>
                <w:lang w:val="en-US" w:eastAsia="zh-CN"/>
              </w:rPr>
              <w:t>被处罚主体</w:t>
            </w:r>
          </w:p>
        </w:tc>
        <w:tc>
          <w:tcPr>
            <w:tcW w:w="677" w:type="pct"/>
            <w:vMerge w:val="restart"/>
            <w:tcBorders>
              <w:tl2br w:val="nil"/>
              <w:tr2bl w:val="nil"/>
            </w:tcBorders>
            <w:noWrap/>
            <w:vAlign w:val="center"/>
          </w:tcPr>
          <w:p>
            <w:pPr>
              <w:pStyle w:val="18"/>
              <w:bidi w:val="0"/>
              <w:jc w:val="center"/>
              <w:rPr>
                <w:rFonts w:hint="eastAsia" w:ascii="黑体" w:hAnsi="黑体" w:eastAsia="黑体" w:cs="黑体"/>
              </w:rPr>
            </w:pPr>
            <w:r>
              <w:rPr>
                <w:rFonts w:hint="eastAsia" w:ascii="黑体" w:hAnsi="黑体" w:eastAsia="黑体" w:cs="黑体"/>
                <w:lang w:val="en-US" w:eastAsia="zh-CN"/>
              </w:rPr>
              <w:t>实施处罚机关</w:t>
            </w:r>
          </w:p>
        </w:tc>
        <w:tc>
          <w:tcPr>
            <w:tcW w:w="388" w:type="pct"/>
            <w:vMerge w:val="restart"/>
            <w:tcBorders>
              <w:tl2br w:val="nil"/>
              <w:tr2bl w:val="nil"/>
            </w:tcBorders>
            <w:noWrap w:val="0"/>
            <w:vAlign w:val="center"/>
          </w:tcPr>
          <w:p>
            <w:pPr>
              <w:pStyle w:val="18"/>
              <w:bidi w:val="0"/>
              <w:jc w:val="center"/>
              <w:rPr>
                <w:rFonts w:hint="eastAsia" w:ascii="黑体" w:hAnsi="黑体" w:eastAsia="黑体" w:cs="黑体"/>
              </w:rPr>
            </w:pPr>
            <w:r>
              <w:rPr>
                <w:rFonts w:hint="eastAsia" w:ascii="黑体" w:hAnsi="黑体" w:eastAsia="黑体" w:cs="黑体"/>
                <w:lang w:val="en-US" w:eastAsia="zh-CN"/>
              </w:rPr>
              <w:t>所属行业领域</w:t>
            </w:r>
          </w:p>
        </w:tc>
        <w:tc>
          <w:tcPr>
            <w:tcW w:w="924" w:type="pct"/>
            <w:vMerge w:val="restart"/>
            <w:tcBorders>
              <w:tl2br w:val="nil"/>
              <w:tr2bl w:val="nil"/>
            </w:tcBorders>
            <w:noWrap w:val="0"/>
            <w:vAlign w:val="center"/>
          </w:tcPr>
          <w:p>
            <w:pPr>
              <w:pStyle w:val="18"/>
              <w:bidi w:val="0"/>
              <w:jc w:val="center"/>
              <w:rPr>
                <w:rFonts w:hint="eastAsia" w:ascii="黑体" w:hAnsi="黑体" w:eastAsia="黑体" w:cs="黑体"/>
                <w:lang w:val="en-US" w:eastAsia="zh-CN"/>
              </w:rPr>
            </w:pPr>
            <w:r>
              <w:rPr>
                <w:rFonts w:hint="eastAsia" w:ascii="黑体" w:hAnsi="黑体" w:eastAsia="黑体" w:cs="黑体"/>
                <w:lang w:val="en-US" w:eastAsia="zh-CN"/>
              </w:rPr>
              <w:t>处罚原因</w:t>
            </w:r>
          </w:p>
        </w:tc>
        <w:tc>
          <w:tcPr>
            <w:tcW w:w="956" w:type="pct"/>
            <w:vMerge w:val="restart"/>
            <w:tcBorders>
              <w:tl2br w:val="nil"/>
              <w:tr2bl w:val="nil"/>
            </w:tcBorders>
            <w:noWrap w:val="0"/>
            <w:vAlign w:val="center"/>
          </w:tcPr>
          <w:p>
            <w:pPr>
              <w:pStyle w:val="18"/>
              <w:bidi w:val="0"/>
              <w:jc w:val="center"/>
              <w:rPr>
                <w:rFonts w:hint="eastAsia" w:ascii="黑体" w:hAnsi="黑体" w:eastAsia="黑体" w:cs="黑体"/>
              </w:rPr>
            </w:pPr>
            <w:r>
              <w:rPr>
                <w:rFonts w:hint="eastAsia" w:ascii="黑体" w:hAnsi="黑体" w:eastAsia="黑体" w:cs="黑体"/>
                <w:lang w:val="en-US" w:eastAsia="zh-CN"/>
              </w:rPr>
              <w:t>处罚依据*条*款*项</w:t>
            </w:r>
          </w:p>
        </w:tc>
        <w:tc>
          <w:tcPr>
            <w:tcW w:w="1455" w:type="pct"/>
            <w:gridSpan w:val="2"/>
            <w:tcBorders>
              <w:tl2br w:val="nil"/>
              <w:tr2bl w:val="nil"/>
            </w:tcBorders>
            <w:noWrap/>
            <w:vAlign w:val="center"/>
          </w:tcPr>
          <w:p>
            <w:pPr>
              <w:pStyle w:val="18"/>
              <w:bidi w:val="0"/>
              <w:jc w:val="center"/>
              <w:rPr>
                <w:rFonts w:hint="eastAsia" w:ascii="黑体" w:hAnsi="黑体" w:eastAsia="黑体" w:cs="黑体"/>
              </w:rPr>
            </w:pPr>
            <w:r>
              <w:rPr>
                <w:rFonts w:hint="eastAsia" w:ascii="黑体" w:hAnsi="黑体" w:eastAsia="黑体" w:cs="黑体"/>
                <w:lang w:val="en-US" w:eastAsia="zh-CN"/>
              </w:rPr>
              <w:t>行政处罚</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80" w:hRule="atLeast"/>
          <w:tblHeader/>
          <w:jc w:val="center"/>
        </w:trPr>
        <w:tc>
          <w:tcPr>
            <w:tcW w:w="319" w:type="pct"/>
            <w:tcBorders>
              <w:tl2br w:val="nil"/>
              <w:tr2bl w:val="nil"/>
            </w:tcBorders>
            <w:noWrap/>
            <w:vAlign w:val="center"/>
          </w:tcPr>
          <w:p>
            <w:pPr>
              <w:pStyle w:val="18"/>
              <w:bidi w:val="0"/>
              <w:jc w:val="center"/>
              <w:rPr>
                <w:rFonts w:hint="eastAsia" w:ascii="黑体" w:hAnsi="黑体" w:eastAsia="黑体" w:cs="黑体"/>
              </w:rPr>
            </w:pPr>
            <w:r>
              <w:rPr>
                <w:rFonts w:hint="eastAsia" w:ascii="黑体" w:hAnsi="黑体" w:eastAsia="黑体" w:cs="黑体"/>
                <w:lang w:val="en-US" w:eastAsia="zh-CN"/>
              </w:rPr>
              <w:t>机构</w:t>
            </w:r>
          </w:p>
        </w:tc>
        <w:tc>
          <w:tcPr>
            <w:tcW w:w="278" w:type="pct"/>
            <w:tcBorders>
              <w:tl2br w:val="nil"/>
              <w:tr2bl w:val="nil"/>
            </w:tcBorders>
            <w:noWrap/>
            <w:vAlign w:val="center"/>
          </w:tcPr>
          <w:p>
            <w:pPr>
              <w:pStyle w:val="18"/>
              <w:bidi w:val="0"/>
              <w:jc w:val="center"/>
              <w:rPr>
                <w:rFonts w:hint="eastAsia" w:ascii="黑体" w:hAnsi="黑体" w:eastAsia="黑体" w:cs="黑体"/>
              </w:rPr>
            </w:pPr>
            <w:r>
              <w:rPr>
                <w:rFonts w:hint="eastAsia" w:ascii="黑体" w:hAnsi="黑体" w:eastAsia="黑体" w:cs="黑体"/>
                <w:lang w:val="en-US" w:eastAsia="zh-CN"/>
              </w:rPr>
              <w:t>个人</w:t>
            </w:r>
          </w:p>
        </w:tc>
        <w:tc>
          <w:tcPr>
            <w:tcW w:w="677" w:type="pct"/>
            <w:vMerge w:val="continue"/>
            <w:tcBorders>
              <w:tl2br w:val="nil"/>
              <w:tr2bl w:val="nil"/>
            </w:tcBorders>
            <w:noWrap/>
            <w:vAlign w:val="center"/>
          </w:tcPr>
          <w:p>
            <w:pPr>
              <w:pStyle w:val="18"/>
              <w:bidi w:val="0"/>
              <w:jc w:val="center"/>
              <w:rPr>
                <w:rFonts w:hint="eastAsia" w:ascii="黑体" w:hAnsi="黑体" w:eastAsia="黑体" w:cs="黑体"/>
              </w:rPr>
            </w:pPr>
          </w:p>
        </w:tc>
        <w:tc>
          <w:tcPr>
            <w:tcW w:w="388" w:type="pct"/>
            <w:vMerge w:val="continue"/>
            <w:tcBorders>
              <w:tl2br w:val="nil"/>
              <w:tr2bl w:val="nil"/>
            </w:tcBorders>
            <w:noWrap w:val="0"/>
            <w:vAlign w:val="center"/>
          </w:tcPr>
          <w:p>
            <w:pPr>
              <w:pStyle w:val="18"/>
              <w:bidi w:val="0"/>
              <w:jc w:val="center"/>
              <w:rPr>
                <w:rFonts w:hint="eastAsia" w:ascii="黑体" w:hAnsi="黑体" w:eastAsia="黑体" w:cs="黑体"/>
              </w:rPr>
            </w:pPr>
          </w:p>
        </w:tc>
        <w:tc>
          <w:tcPr>
            <w:tcW w:w="924" w:type="pct"/>
            <w:vMerge w:val="continue"/>
            <w:tcBorders>
              <w:tl2br w:val="nil"/>
              <w:tr2bl w:val="nil"/>
            </w:tcBorders>
            <w:noWrap/>
            <w:vAlign w:val="center"/>
          </w:tcPr>
          <w:p>
            <w:pPr>
              <w:pStyle w:val="18"/>
              <w:bidi w:val="0"/>
              <w:jc w:val="center"/>
              <w:rPr>
                <w:rFonts w:hint="eastAsia" w:ascii="黑体" w:hAnsi="黑体" w:eastAsia="黑体" w:cs="黑体"/>
              </w:rPr>
            </w:pPr>
          </w:p>
        </w:tc>
        <w:tc>
          <w:tcPr>
            <w:tcW w:w="956" w:type="pct"/>
            <w:vMerge w:val="continue"/>
            <w:tcBorders>
              <w:tl2br w:val="nil"/>
              <w:tr2bl w:val="nil"/>
            </w:tcBorders>
            <w:noWrap/>
            <w:vAlign w:val="center"/>
          </w:tcPr>
          <w:p>
            <w:pPr>
              <w:pStyle w:val="18"/>
              <w:bidi w:val="0"/>
              <w:jc w:val="center"/>
              <w:rPr>
                <w:rFonts w:hint="eastAsia" w:ascii="黑体" w:hAnsi="黑体" w:eastAsia="黑体" w:cs="黑体"/>
              </w:rPr>
            </w:pPr>
          </w:p>
        </w:tc>
        <w:tc>
          <w:tcPr>
            <w:tcW w:w="719" w:type="pct"/>
            <w:tcBorders>
              <w:tl2br w:val="nil"/>
              <w:tr2bl w:val="nil"/>
            </w:tcBorders>
            <w:noWrap/>
            <w:vAlign w:val="center"/>
          </w:tcPr>
          <w:p>
            <w:pPr>
              <w:pStyle w:val="18"/>
              <w:bidi w:val="0"/>
              <w:jc w:val="center"/>
              <w:rPr>
                <w:rFonts w:hint="eastAsia" w:ascii="黑体" w:hAnsi="黑体" w:eastAsia="黑体" w:cs="黑体"/>
              </w:rPr>
            </w:pPr>
            <w:r>
              <w:rPr>
                <w:rFonts w:hint="eastAsia" w:ascii="黑体" w:hAnsi="黑体" w:eastAsia="黑体" w:cs="黑体"/>
                <w:lang w:val="en-US" w:eastAsia="zh-CN"/>
              </w:rPr>
              <w:t>处罚类型</w:t>
            </w:r>
          </w:p>
        </w:tc>
        <w:tc>
          <w:tcPr>
            <w:tcW w:w="735" w:type="pct"/>
            <w:tcBorders>
              <w:tl2br w:val="nil"/>
              <w:tr2bl w:val="nil"/>
            </w:tcBorders>
            <w:noWrap/>
            <w:vAlign w:val="center"/>
          </w:tcPr>
          <w:p>
            <w:pPr>
              <w:pStyle w:val="18"/>
              <w:bidi w:val="0"/>
              <w:jc w:val="center"/>
              <w:rPr>
                <w:rFonts w:hint="eastAsia" w:ascii="黑体" w:hAnsi="黑体" w:eastAsia="黑体" w:cs="黑体"/>
              </w:rPr>
            </w:pPr>
            <w:r>
              <w:rPr>
                <w:rFonts w:hint="eastAsia" w:ascii="黑体" w:hAnsi="黑体" w:eastAsia="黑体" w:cs="黑体"/>
                <w:lang w:val="en-US" w:eastAsia="zh-CN"/>
              </w:rPr>
              <w:t>处罚金额（万）</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319" w:type="pct"/>
            <w:tcBorders>
              <w:tl2br w:val="nil"/>
              <w:tr2bl w:val="nil"/>
            </w:tcBorders>
            <w:noWrap/>
            <w:vAlign w:val="center"/>
          </w:tcPr>
          <w:p>
            <w:pPr>
              <w:pStyle w:val="18"/>
              <w:bidi w:val="0"/>
              <w:jc w:val="center"/>
              <w:rPr>
                <w:rFonts w:hint="default"/>
                <w:lang w:val="en-US" w:eastAsia="zh-CN"/>
              </w:rPr>
            </w:pPr>
          </w:p>
        </w:tc>
        <w:tc>
          <w:tcPr>
            <w:tcW w:w="278" w:type="pct"/>
            <w:tcBorders>
              <w:tl2br w:val="nil"/>
              <w:tr2bl w:val="nil"/>
            </w:tcBorders>
            <w:noWrap/>
            <w:vAlign w:val="center"/>
          </w:tcPr>
          <w:p>
            <w:pPr>
              <w:pStyle w:val="18"/>
              <w:bidi w:val="0"/>
              <w:jc w:val="center"/>
              <w:rPr>
                <w:rFonts w:hint="default"/>
                <w:lang w:val="en-US" w:eastAsia="zh-CN"/>
              </w:rPr>
            </w:pPr>
          </w:p>
        </w:tc>
        <w:tc>
          <w:tcPr>
            <w:tcW w:w="677" w:type="pct"/>
            <w:tcBorders>
              <w:tl2br w:val="nil"/>
              <w:tr2bl w:val="nil"/>
            </w:tcBorders>
            <w:noWrap/>
            <w:vAlign w:val="center"/>
          </w:tcPr>
          <w:p>
            <w:pPr>
              <w:pStyle w:val="18"/>
              <w:bidi w:val="0"/>
              <w:jc w:val="center"/>
              <w:rPr>
                <w:rFonts w:hint="default"/>
              </w:rPr>
            </w:pPr>
          </w:p>
        </w:tc>
        <w:tc>
          <w:tcPr>
            <w:tcW w:w="388" w:type="pct"/>
            <w:tcBorders>
              <w:tl2br w:val="nil"/>
              <w:tr2bl w:val="nil"/>
            </w:tcBorders>
            <w:noWrap w:val="0"/>
            <w:vAlign w:val="center"/>
          </w:tcPr>
          <w:p>
            <w:pPr>
              <w:pStyle w:val="18"/>
              <w:bidi w:val="0"/>
              <w:jc w:val="center"/>
              <w:rPr>
                <w:rFonts w:hint="default"/>
              </w:rPr>
            </w:pPr>
          </w:p>
        </w:tc>
        <w:tc>
          <w:tcPr>
            <w:tcW w:w="924" w:type="pct"/>
            <w:tcBorders>
              <w:tl2br w:val="nil"/>
              <w:tr2bl w:val="nil"/>
            </w:tcBorders>
            <w:noWrap/>
            <w:vAlign w:val="center"/>
          </w:tcPr>
          <w:p>
            <w:pPr>
              <w:pStyle w:val="18"/>
              <w:bidi w:val="0"/>
              <w:jc w:val="center"/>
              <w:rPr>
                <w:rFonts w:hint="default"/>
              </w:rPr>
            </w:pPr>
          </w:p>
        </w:tc>
        <w:tc>
          <w:tcPr>
            <w:tcW w:w="956" w:type="pct"/>
            <w:tcBorders>
              <w:tl2br w:val="nil"/>
              <w:tr2bl w:val="nil"/>
            </w:tcBorders>
            <w:noWrap/>
            <w:vAlign w:val="center"/>
          </w:tcPr>
          <w:p>
            <w:pPr>
              <w:pStyle w:val="18"/>
              <w:bidi w:val="0"/>
              <w:jc w:val="center"/>
              <w:rPr>
                <w:rFonts w:hint="default"/>
                <w:lang w:val="en-US" w:eastAsia="zh-CN"/>
              </w:rPr>
            </w:pPr>
          </w:p>
        </w:tc>
        <w:tc>
          <w:tcPr>
            <w:tcW w:w="719" w:type="pct"/>
            <w:tcBorders>
              <w:tl2br w:val="nil"/>
              <w:tr2bl w:val="nil"/>
            </w:tcBorders>
            <w:noWrap/>
            <w:vAlign w:val="center"/>
          </w:tcPr>
          <w:p>
            <w:pPr>
              <w:pStyle w:val="18"/>
              <w:bidi w:val="0"/>
              <w:jc w:val="center"/>
              <w:rPr>
                <w:rFonts w:hint="default"/>
                <w:lang w:val="en-US" w:eastAsia="zh-CN"/>
              </w:rPr>
            </w:pPr>
          </w:p>
        </w:tc>
        <w:tc>
          <w:tcPr>
            <w:tcW w:w="735" w:type="pct"/>
            <w:tcBorders>
              <w:tl2br w:val="nil"/>
              <w:tr2bl w:val="nil"/>
            </w:tcBorders>
            <w:noWrap/>
            <w:vAlign w:val="center"/>
          </w:tcPr>
          <w:p>
            <w:pPr>
              <w:pStyle w:val="18"/>
              <w:bidi w:val="0"/>
              <w:jc w:val="center"/>
              <w:rPr>
                <w:rFonts w:hint="default"/>
                <w:lang w:val="en-US" w:eastAsia="zh-CN"/>
              </w:rPr>
            </w:pPr>
          </w:p>
        </w:tc>
      </w:tr>
    </w:tbl>
    <w:p>
      <w:pPr>
        <w:ind w:left="0" w:leftChars="0" w:firstLine="0" w:firstLineChars="0"/>
        <w:rPr>
          <w:rFonts w:hint="eastAsia"/>
        </w:rPr>
      </w:pPr>
      <w:r>
        <w:rPr>
          <w:rFonts w:hint="eastAsia"/>
        </w:rPr>
        <w:t>填报人：                                              联系电话：</w:t>
      </w:r>
    </w:p>
    <w:p>
      <w:pPr>
        <w:ind w:left="0" w:leftChars="0" w:firstLine="0" w:firstLineChars="0"/>
        <w:rPr>
          <w:rFonts w:hint="eastAsia"/>
        </w:rPr>
      </w:pPr>
      <w:r>
        <w:rPr>
          <w:rFonts w:hint="eastAsia"/>
        </w:rPr>
        <w:t>注：行政处罚决定书一并报送。</w:t>
      </w:r>
    </w:p>
    <w:p>
      <w:pPr>
        <w:rPr>
          <w:rFonts w:hint="eastAsia"/>
        </w:rPr>
      </w:pPr>
    </w:p>
    <w:p>
      <w:pPr>
        <w:rPr>
          <w:rFonts w:hint="eastAsia"/>
        </w:rPr>
        <w:sectPr>
          <w:pgSz w:w="16838" w:h="11906" w:orient="landscape"/>
          <w:pgMar w:top="1531" w:right="1701" w:bottom="1531" w:left="1701" w:header="851" w:footer="992" w:gutter="0"/>
          <w:pgNumType w:fmt="decimal"/>
          <w:cols w:space="0" w:num="1"/>
          <w:rtlGutter w:val="0"/>
          <w:docGrid w:type="lines" w:linePitch="312" w:charSpace="0"/>
        </w:sectPr>
      </w:pPr>
    </w:p>
    <w:p>
      <w:pPr>
        <w:pStyle w:val="21"/>
        <w:bidi w:val="0"/>
        <w:rPr>
          <w:rFonts w:hint="eastAsia"/>
        </w:rPr>
      </w:pPr>
      <w:r>
        <w:rPr>
          <w:rFonts w:hint="eastAsia"/>
        </w:rPr>
        <w:t>附件4</w:t>
      </w:r>
    </w:p>
    <w:p>
      <w:pPr>
        <w:pStyle w:val="3"/>
        <w:bidi w:val="0"/>
        <w:rPr>
          <w:rFonts w:hint="eastAsia"/>
        </w:rPr>
      </w:pPr>
      <w:r>
        <w:rPr>
          <w:rFonts w:hint="eastAsia"/>
        </w:rPr>
        <w:t>典型案例报送要求</w:t>
      </w:r>
    </w:p>
    <w:p>
      <w:pPr>
        <w:rPr>
          <w:rFonts w:hint="eastAsia"/>
        </w:rPr>
      </w:pPr>
    </w:p>
    <w:p>
      <w:pPr>
        <w:rPr>
          <w:rFonts w:hint="eastAsia"/>
        </w:rPr>
      </w:pPr>
      <w:r>
        <w:rPr>
          <w:rFonts w:hint="eastAsia"/>
        </w:rPr>
        <w:t>典型案例应包括标题、基本案情、处理理由及结果、案例评析、法律适用等要件，确保典型案例格式规范统一。具体而言，典型案例报送可参照如下模板：</w:t>
      </w:r>
    </w:p>
    <w:p>
      <w:pPr>
        <w:rPr>
          <w:rFonts w:hint="eastAsia"/>
        </w:rPr>
      </w:pPr>
      <w:r>
        <w:rPr>
          <w:rFonts w:hint="eastAsia"/>
        </w:rPr>
        <w:t>【标题】</w:t>
      </w:r>
    </w:p>
    <w:p>
      <w:pPr>
        <w:rPr>
          <w:rFonts w:hint="eastAsia"/>
        </w:rPr>
      </w:pPr>
      <w:r>
        <w:rPr>
          <w:rFonts w:hint="eastAsia"/>
        </w:rPr>
        <w:t>【基本案情】</w:t>
      </w:r>
    </w:p>
    <w:p>
      <w:pPr>
        <w:rPr>
          <w:rFonts w:hint="eastAsia"/>
        </w:rPr>
      </w:pPr>
      <w:r>
        <w:rPr>
          <w:rFonts w:hint="eastAsia"/>
        </w:rPr>
        <w:t>详细介绍案件事实等基本情况。</w:t>
      </w:r>
    </w:p>
    <w:p>
      <w:pPr>
        <w:rPr>
          <w:rFonts w:hint="eastAsia"/>
        </w:rPr>
      </w:pPr>
      <w:r>
        <w:rPr>
          <w:rFonts w:hint="eastAsia"/>
        </w:rPr>
        <w:t>【处理理由及结果】</w:t>
      </w:r>
    </w:p>
    <w:p>
      <w:pPr>
        <w:rPr>
          <w:rFonts w:hint="eastAsia"/>
        </w:rPr>
      </w:pPr>
      <w:r>
        <w:rPr>
          <w:rFonts w:hint="eastAsia"/>
        </w:rPr>
        <w:t>通过对相关法律、法规的适用，给出案件的处理理由及结果。理由应包括证据采信理由、依据选择理由、决定裁量理由等。</w:t>
      </w:r>
    </w:p>
    <w:p>
      <w:pPr>
        <w:rPr>
          <w:rFonts w:hint="eastAsia"/>
        </w:rPr>
      </w:pPr>
      <w:r>
        <w:rPr>
          <w:rFonts w:hint="eastAsia"/>
        </w:rPr>
        <w:t>【案件评析】</w:t>
      </w:r>
    </w:p>
    <w:p>
      <w:pPr>
        <w:rPr>
          <w:rFonts w:hint="eastAsia"/>
        </w:rPr>
      </w:pPr>
      <w:r>
        <w:rPr>
          <w:rFonts w:hint="eastAsia"/>
        </w:rPr>
        <w:t>对典型案例进行评析，明确在类似案件执法中的参考借鉴价值，指出需要完善改进的地方。</w:t>
      </w:r>
    </w:p>
    <w:p>
      <w:pPr>
        <w:rPr>
          <w:rFonts w:hint="eastAsia"/>
        </w:rPr>
      </w:pPr>
      <w:r>
        <w:rPr>
          <w:rFonts w:hint="eastAsia"/>
        </w:rPr>
        <w:t>【法律适用】</w:t>
      </w:r>
    </w:p>
    <w:p>
      <w:pPr>
        <w:rPr>
          <w:rFonts w:hint="eastAsia"/>
        </w:rPr>
      </w:pPr>
      <w:r>
        <w:rPr>
          <w:rFonts w:hint="eastAsia"/>
        </w:rPr>
        <w:t>列明适用的相关法律法规的规定及条款。</w:t>
      </w:r>
    </w:p>
    <w:p>
      <w:pPr>
        <w:rPr>
          <w:rFonts w:hint="eastAsia"/>
        </w:rPr>
        <w:sectPr>
          <w:pgSz w:w="11906" w:h="16838"/>
          <w:pgMar w:top="1701" w:right="1531" w:bottom="1701" w:left="1531" w:header="851" w:footer="992" w:gutter="0"/>
          <w:pgNumType w:fmt="decimal"/>
          <w:cols w:space="0" w:num="1"/>
          <w:rtlGutter w:val="0"/>
          <w:docGrid w:type="lines" w:linePitch="312" w:charSpace="0"/>
        </w:sectPr>
      </w:pPr>
    </w:p>
    <w:p>
      <w:pPr>
        <w:pStyle w:val="21"/>
        <w:bidi w:val="0"/>
        <w:rPr>
          <w:rFonts w:hint="eastAsia"/>
        </w:rPr>
      </w:pPr>
      <w:r>
        <w:rPr>
          <w:rFonts w:hint="eastAsia"/>
        </w:rPr>
        <w:t>附件5</w:t>
      </w:r>
    </w:p>
    <w:p>
      <w:pPr>
        <w:pStyle w:val="3"/>
        <w:bidi w:val="0"/>
        <w:rPr>
          <w:rFonts w:hint="eastAsia"/>
        </w:rPr>
      </w:pPr>
      <w:r>
        <w:rPr>
          <w:rFonts w:hint="eastAsia"/>
        </w:rPr>
        <w:t>安全评价报告虚假情形认定</w:t>
      </w:r>
    </w:p>
    <w:p>
      <w:pPr>
        <w:rPr>
          <w:rFonts w:hint="eastAsia"/>
        </w:rPr>
      </w:pPr>
    </w:p>
    <w:p>
      <w:pPr>
        <w:rPr>
          <w:rFonts w:hint="eastAsia"/>
        </w:rPr>
      </w:pPr>
      <w:r>
        <w:rPr>
          <w:rFonts w:hint="eastAsia"/>
        </w:rPr>
        <w:t>安全评价报告存在以下情形之一的，认定为安全评价报告虚假：</w:t>
      </w:r>
    </w:p>
    <w:p>
      <w:pPr>
        <w:rPr>
          <w:rFonts w:hint="eastAsia"/>
        </w:rPr>
      </w:pPr>
      <w:r>
        <w:rPr>
          <w:rFonts w:hint="eastAsia"/>
        </w:rPr>
        <w:t>（一）故意伪造的；</w:t>
      </w:r>
    </w:p>
    <w:p>
      <w:pPr>
        <w:rPr>
          <w:rFonts w:hint="eastAsia"/>
        </w:rPr>
      </w:pPr>
      <w:r>
        <w:rPr>
          <w:rFonts w:hint="eastAsia"/>
        </w:rPr>
        <w:t>（二）在周边环境、主要建（构）筑物、工艺、装置、设备设施等重要内容上弄虚作假，导致与评价期间实际情况不符，影响评价结论的；</w:t>
      </w:r>
    </w:p>
    <w:p>
      <w:pPr>
        <w:rPr>
          <w:rFonts w:hint="eastAsia"/>
        </w:rPr>
      </w:pPr>
      <w:r>
        <w:rPr>
          <w:rFonts w:hint="eastAsia"/>
        </w:rPr>
        <w:t>（三）隐瞒生产经营单位重大事故隐患及整改落实情况、主要灾害等级等情况，影响评价结论的；</w:t>
      </w:r>
    </w:p>
    <w:p>
      <w:pPr>
        <w:rPr>
          <w:rFonts w:hint="eastAsia"/>
        </w:rPr>
      </w:pPr>
      <w:r>
        <w:rPr>
          <w:rFonts w:hint="eastAsia"/>
        </w:rPr>
        <w:t>（四）伪造、篡改生产经营单位相关信息、数据、技术报告或者结论等内容，影响评价结论的；</w:t>
      </w:r>
    </w:p>
    <w:p>
      <w:pPr>
        <w:rPr>
          <w:rFonts w:hint="eastAsia"/>
        </w:rPr>
      </w:pPr>
      <w:r>
        <w:rPr>
          <w:rFonts w:hint="eastAsia"/>
        </w:rPr>
        <w:t>（五）故意采用存疑的第三方证明材料、监测检验报告，影响评价结论的；</w:t>
      </w:r>
    </w:p>
    <w:p>
      <w:pPr>
        <w:rPr>
          <w:rFonts w:hint="eastAsia"/>
        </w:rPr>
      </w:pPr>
      <w:r>
        <w:rPr>
          <w:rFonts w:hint="eastAsia"/>
        </w:rPr>
        <w:t>（六）有其他弄虚作假行为，影响评价结论的情形。</w:t>
      </w:r>
    </w:p>
    <w:p>
      <w:pPr>
        <w:rPr>
          <w:rFonts w:hint="eastAsia"/>
        </w:rPr>
      </w:pPr>
    </w:p>
    <w:p>
      <w:pPr>
        <w:rPr>
          <w:rFonts w:hint="eastAsia"/>
        </w:rPr>
        <w:sectPr>
          <w:pgSz w:w="11906" w:h="16838"/>
          <w:pgMar w:top="1701" w:right="1531" w:bottom="1701" w:left="1531" w:header="851" w:footer="992" w:gutter="0"/>
          <w:pgNumType w:fmt="decimal"/>
          <w:cols w:space="0" w:num="1"/>
          <w:rtlGutter w:val="0"/>
          <w:docGrid w:type="lines" w:linePitch="312" w:charSpace="0"/>
        </w:sectPr>
      </w:pPr>
    </w:p>
    <w:p>
      <w:pPr>
        <w:pStyle w:val="21"/>
        <w:bidi w:val="0"/>
        <w:rPr>
          <w:rFonts w:hint="eastAsia"/>
        </w:rPr>
      </w:pPr>
      <w:r>
        <w:rPr>
          <w:rFonts w:hint="eastAsia"/>
        </w:rPr>
        <w:t>附件6</w:t>
      </w:r>
    </w:p>
    <w:p>
      <w:pPr>
        <w:pStyle w:val="3"/>
        <w:bidi w:val="0"/>
        <w:rPr>
          <w:rFonts w:hint="eastAsia"/>
        </w:rPr>
      </w:pPr>
      <w:r>
        <w:rPr>
          <w:rFonts w:hint="eastAsia"/>
        </w:rPr>
        <w:t>安全评价报告失实情形认定</w:t>
      </w:r>
    </w:p>
    <w:p>
      <w:pPr>
        <w:keepNext w:val="0"/>
        <w:keepLines w:val="0"/>
        <w:pageBreakBefore w:val="0"/>
        <w:widowControl w:val="0"/>
        <w:kinsoku/>
        <w:wordWrap/>
        <w:overflowPunct/>
        <w:topLinePunct w:val="0"/>
        <w:autoSpaceDE/>
        <w:autoSpaceDN/>
        <w:bidi w:val="0"/>
        <w:adjustRightInd/>
        <w:snapToGrid/>
        <w:spacing w:line="57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70" w:lineRule="exact"/>
        <w:textAlignment w:val="auto"/>
        <w:rPr>
          <w:rFonts w:hint="eastAsia"/>
        </w:rPr>
      </w:pPr>
      <w:r>
        <w:rPr>
          <w:rFonts w:hint="eastAsia"/>
        </w:rPr>
        <w:t>安全评价报告存在以下情形之一的，认定为安全评价报告失实：</w:t>
      </w:r>
    </w:p>
    <w:p>
      <w:pPr>
        <w:keepNext w:val="0"/>
        <w:keepLines w:val="0"/>
        <w:pageBreakBefore w:val="0"/>
        <w:widowControl w:val="0"/>
        <w:kinsoku/>
        <w:wordWrap/>
        <w:overflowPunct/>
        <w:topLinePunct w:val="0"/>
        <w:autoSpaceDE/>
        <w:autoSpaceDN/>
        <w:bidi w:val="0"/>
        <w:adjustRightInd/>
        <w:snapToGrid/>
        <w:spacing w:line="570" w:lineRule="exact"/>
        <w:textAlignment w:val="auto"/>
        <w:rPr>
          <w:rFonts w:hint="eastAsia"/>
        </w:rPr>
      </w:pPr>
      <w:r>
        <w:rPr>
          <w:rFonts w:hint="eastAsia"/>
        </w:rPr>
        <w:t>（一）安全现状评价或验收评价报告中，企业布局、工艺参数、周边环境与评价期间实际情况不符，影响评价结论的；</w:t>
      </w:r>
    </w:p>
    <w:p>
      <w:pPr>
        <w:keepNext w:val="0"/>
        <w:keepLines w:val="0"/>
        <w:pageBreakBefore w:val="0"/>
        <w:widowControl w:val="0"/>
        <w:kinsoku/>
        <w:wordWrap/>
        <w:overflowPunct/>
        <w:topLinePunct w:val="0"/>
        <w:autoSpaceDE/>
        <w:autoSpaceDN/>
        <w:bidi w:val="0"/>
        <w:adjustRightInd/>
        <w:snapToGrid/>
        <w:spacing w:line="570" w:lineRule="exact"/>
        <w:textAlignment w:val="auto"/>
        <w:rPr>
          <w:rFonts w:hint="eastAsia"/>
        </w:rPr>
      </w:pPr>
      <w:r>
        <w:rPr>
          <w:rFonts w:hint="eastAsia"/>
        </w:rPr>
        <w:t>（二）重要区域、关键设备设施、主要物料和建（构）筑物、主要安全设施、重要的公辅设施、改（扩）建情况等遗漏或描写错误，影响评价结论的；</w:t>
      </w:r>
    </w:p>
    <w:p>
      <w:pPr>
        <w:keepNext w:val="0"/>
        <w:keepLines w:val="0"/>
        <w:pageBreakBefore w:val="0"/>
        <w:widowControl w:val="0"/>
        <w:kinsoku/>
        <w:wordWrap/>
        <w:overflowPunct/>
        <w:topLinePunct w:val="0"/>
        <w:autoSpaceDE/>
        <w:autoSpaceDN/>
        <w:bidi w:val="0"/>
        <w:adjustRightInd/>
        <w:snapToGrid/>
        <w:spacing w:line="570" w:lineRule="exact"/>
        <w:textAlignment w:val="auto"/>
        <w:rPr>
          <w:rFonts w:hint="eastAsia"/>
        </w:rPr>
      </w:pPr>
      <w:r>
        <w:rPr>
          <w:rFonts w:hint="eastAsia"/>
        </w:rPr>
        <w:t>（三）法律、法规、标准主要条款漏项、错误或使用已废止的法律、法规、标准，影响评价结论的；</w:t>
      </w:r>
    </w:p>
    <w:p>
      <w:pPr>
        <w:keepNext w:val="0"/>
        <w:keepLines w:val="0"/>
        <w:pageBreakBefore w:val="0"/>
        <w:widowControl w:val="0"/>
        <w:kinsoku/>
        <w:wordWrap/>
        <w:overflowPunct/>
        <w:topLinePunct w:val="0"/>
        <w:autoSpaceDE/>
        <w:autoSpaceDN/>
        <w:bidi w:val="0"/>
        <w:adjustRightInd/>
        <w:snapToGrid/>
        <w:spacing w:line="570" w:lineRule="exact"/>
        <w:textAlignment w:val="auto"/>
        <w:rPr>
          <w:rFonts w:hint="eastAsia"/>
        </w:rPr>
      </w:pPr>
      <w:r>
        <w:rPr>
          <w:rFonts w:hint="eastAsia"/>
        </w:rPr>
        <w:t>（四）国家明令限制类、淘汰类工艺或设备未辨识或辨识有误，导致评价结论失实的；</w:t>
      </w:r>
    </w:p>
    <w:p>
      <w:pPr>
        <w:keepNext w:val="0"/>
        <w:keepLines w:val="0"/>
        <w:pageBreakBefore w:val="0"/>
        <w:widowControl w:val="0"/>
        <w:kinsoku/>
        <w:wordWrap/>
        <w:overflowPunct/>
        <w:topLinePunct w:val="0"/>
        <w:autoSpaceDE/>
        <w:autoSpaceDN/>
        <w:bidi w:val="0"/>
        <w:adjustRightInd/>
        <w:snapToGrid/>
        <w:spacing w:line="570" w:lineRule="exact"/>
        <w:textAlignment w:val="auto"/>
        <w:rPr>
          <w:rFonts w:hint="eastAsia"/>
        </w:rPr>
      </w:pPr>
      <w:r>
        <w:rPr>
          <w:rFonts w:hint="eastAsia"/>
        </w:rPr>
        <w:t>（五）未进行危险化学品重大危险源辨识及分级或出现严重偏差，影响评价结论的；</w:t>
      </w:r>
    </w:p>
    <w:p>
      <w:pPr>
        <w:keepNext w:val="0"/>
        <w:keepLines w:val="0"/>
        <w:pageBreakBefore w:val="0"/>
        <w:widowControl w:val="0"/>
        <w:kinsoku/>
        <w:wordWrap/>
        <w:overflowPunct/>
        <w:topLinePunct w:val="0"/>
        <w:autoSpaceDE/>
        <w:autoSpaceDN/>
        <w:bidi w:val="0"/>
        <w:adjustRightInd/>
        <w:snapToGrid/>
        <w:spacing w:line="570" w:lineRule="exact"/>
        <w:textAlignment w:val="auto"/>
        <w:rPr>
          <w:rFonts w:hint="eastAsia"/>
        </w:rPr>
      </w:pPr>
      <w:r>
        <w:rPr>
          <w:rFonts w:hint="eastAsia"/>
        </w:rPr>
        <w:t>（六）存在不符合国家和行业强制性规定的安全生产条件项，评价报告漏项未做评价的；</w:t>
      </w:r>
    </w:p>
    <w:p>
      <w:pPr>
        <w:keepNext w:val="0"/>
        <w:keepLines w:val="0"/>
        <w:pageBreakBefore w:val="0"/>
        <w:widowControl w:val="0"/>
        <w:kinsoku/>
        <w:wordWrap/>
        <w:overflowPunct/>
        <w:topLinePunct w:val="0"/>
        <w:autoSpaceDE/>
        <w:autoSpaceDN/>
        <w:bidi w:val="0"/>
        <w:adjustRightInd/>
        <w:snapToGrid/>
        <w:spacing w:line="570" w:lineRule="exact"/>
        <w:textAlignment w:val="auto"/>
        <w:rPr>
          <w:rFonts w:hint="eastAsia"/>
        </w:rPr>
      </w:pPr>
      <w:r>
        <w:rPr>
          <w:rFonts w:hint="eastAsia"/>
        </w:rPr>
        <w:t>（七）存在行业重大生产安全事故隐患判定标准中列举的重大事故隐患，评价报告漏项未做评价的；</w:t>
      </w:r>
    </w:p>
    <w:p>
      <w:pPr>
        <w:keepNext w:val="0"/>
        <w:keepLines w:val="0"/>
        <w:pageBreakBefore w:val="0"/>
        <w:widowControl w:val="0"/>
        <w:kinsoku/>
        <w:wordWrap/>
        <w:overflowPunct/>
        <w:topLinePunct w:val="0"/>
        <w:autoSpaceDE/>
        <w:autoSpaceDN/>
        <w:bidi w:val="0"/>
        <w:adjustRightInd/>
        <w:snapToGrid/>
        <w:spacing w:line="570" w:lineRule="exact"/>
        <w:textAlignment w:val="auto"/>
        <w:rPr>
          <w:rFonts w:hint="eastAsia"/>
        </w:rPr>
      </w:pPr>
      <w:r>
        <w:rPr>
          <w:rFonts w:hint="eastAsia"/>
        </w:rPr>
        <w:t>（八）对策措施建议与被评价项目存在问题不符的；</w:t>
      </w:r>
    </w:p>
    <w:p>
      <w:pPr>
        <w:keepNext w:val="0"/>
        <w:keepLines w:val="0"/>
        <w:pageBreakBefore w:val="0"/>
        <w:widowControl w:val="0"/>
        <w:kinsoku/>
        <w:wordWrap/>
        <w:overflowPunct/>
        <w:topLinePunct w:val="0"/>
        <w:autoSpaceDE/>
        <w:autoSpaceDN/>
        <w:bidi w:val="0"/>
        <w:adjustRightInd/>
        <w:snapToGrid/>
        <w:spacing w:line="570" w:lineRule="exact"/>
        <w:textAlignment w:val="auto"/>
        <w:rPr>
          <w:rFonts w:hint="eastAsia"/>
        </w:rPr>
      </w:pPr>
      <w:r>
        <w:rPr>
          <w:rFonts w:hint="eastAsia"/>
        </w:rPr>
        <w:t>（九）井工煤矿采掘工艺、露天煤矿采剥工艺未调查清楚的；</w:t>
      </w:r>
    </w:p>
    <w:p>
      <w:pPr>
        <w:keepNext w:val="0"/>
        <w:keepLines w:val="0"/>
        <w:pageBreakBefore w:val="0"/>
        <w:widowControl w:val="0"/>
        <w:kinsoku/>
        <w:wordWrap/>
        <w:overflowPunct/>
        <w:topLinePunct w:val="0"/>
        <w:autoSpaceDE/>
        <w:autoSpaceDN/>
        <w:bidi w:val="0"/>
        <w:adjustRightInd/>
        <w:snapToGrid/>
        <w:spacing w:line="570" w:lineRule="exact"/>
        <w:textAlignment w:val="auto"/>
      </w:pPr>
      <w:r>
        <w:rPr>
          <w:rFonts w:hint="eastAsia"/>
        </w:rPr>
        <w:t>（十）金属非金属矿山相关文件和规程要求的主要定量计算分析缺失的。</w:t>
      </w:r>
    </w:p>
    <w:sectPr>
      <w:pgSz w:w="11906" w:h="16838"/>
      <w:pgMar w:top="1701" w:right="1531" w:bottom="1701" w:left="1531" w:header="851" w:footer="992" w:gutter="0"/>
      <w:pgNumType w:fmt="decimal"/>
      <w:cols w:space="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16"/>
      </w:pPr>
      <w:r>
        <w:separator/>
      </w:r>
    </w:p>
  </w:endnote>
  <w:endnote w:type="continuationSeparator" w:id="1">
    <w:p>
      <w:pPr>
        <w:spacing w:line="240" w:lineRule="auto"/>
        <w:ind w:firstLine="616"/>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Standard Symbols PS">
    <w:panose1 w:val="05050102010706020507"/>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2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SQizEBwCAAApBAAADgAAAAAAAAABACAAAAA1AQAAZHJzL2Uyb0RvYy54bWxQSwUG&#10;AAAAAAYABgBZAQAAwwUAAAAA&#10;">
              <v:fill on="f" focussize="0,0"/>
              <v:stroke on="f" weight="0.5pt"/>
              <v:imagedata o:title=""/>
              <o:lock v:ext="edit" aspectratio="f"/>
              <v:textbox inset="0mm,0mm,0mm,0mm" style="mso-fit-shape-to-text:t;">
                <w:txbxContent>
                  <w:p>
                    <w:pPr>
                      <w:pStyle w:val="8"/>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16"/>
      </w:pPr>
      <w:r>
        <w:separator/>
      </w:r>
    </w:p>
  </w:footnote>
  <w:footnote w:type="continuationSeparator" w:id="1">
    <w:p>
      <w:pPr>
        <w:spacing w:line="240" w:lineRule="auto"/>
        <w:ind w:firstLine="616"/>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A778EA2"/>
    <w:rsid w:val="33E25880"/>
    <w:rsid w:val="3DBDF144"/>
    <w:rsid w:val="3F5C1BF4"/>
    <w:rsid w:val="5EDD2571"/>
    <w:rsid w:val="5FFF82EF"/>
    <w:rsid w:val="67B717E6"/>
    <w:rsid w:val="73FBDA60"/>
    <w:rsid w:val="761FF920"/>
    <w:rsid w:val="776F99DC"/>
    <w:rsid w:val="7BCF074A"/>
    <w:rsid w:val="7EB7C670"/>
    <w:rsid w:val="7ECE17F5"/>
    <w:rsid w:val="7EDB0452"/>
    <w:rsid w:val="7EFF4C11"/>
    <w:rsid w:val="7FC502F5"/>
    <w:rsid w:val="9CFD4E98"/>
    <w:rsid w:val="ACBBAC41"/>
    <w:rsid w:val="BD9F4C3D"/>
    <w:rsid w:val="BEFC204C"/>
    <w:rsid w:val="BFFF4F31"/>
    <w:rsid w:val="E8F7A1D4"/>
    <w:rsid w:val="FA778EA2"/>
    <w:rsid w:val="FD3E33AF"/>
    <w:rsid w:val="FE5FAF52"/>
    <w:rsid w:val="FEAFBF85"/>
    <w:rsid w:val="FFA53050"/>
    <w:rsid w:val="FFBFE604"/>
    <w:rsid w:val="FFDBAFCD"/>
    <w:rsid w:val="FFDCE6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26"/>
    <w:qFormat/>
    <w:uiPriority w:val="0"/>
    <w:pPr>
      <w:widowControl w:val="0"/>
      <w:spacing w:line="600" w:lineRule="exact"/>
      <w:ind w:firstLine="616" w:firstLineChars="200"/>
      <w:jc w:val="both"/>
    </w:pPr>
    <w:rPr>
      <w:rFonts w:ascii="仿宋_GB2312" w:hAnsi="仿宋_GB2312" w:eastAsia="仿宋_GB2312" w:cstheme="minorBidi"/>
      <w:spacing w:val="-6"/>
      <w:kern w:val="2"/>
      <w:sz w:val="32"/>
      <w:lang w:val="en-US" w:eastAsia="zh-CN" w:bidi="ar-SA"/>
    </w:rPr>
  </w:style>
  <w:style w:type="paragraph" w:styleId="3">
    <w:name w:val="heading 1"/>
    <w:basedOn w:val="1"/>
    <w:next w:val="1"/>
    <w:link w:val="14"/>
    <w:qFormat/>
    <w:uiPriority w:val="0"/>
    <w:pPr>
      <w:keepNext/>
      <w:keepLines/>
      <w:spacing w:beforeLines="0" w:beforeAutospacing="0" w:afterLines="0" w:afterAutospacing="0" w:line="700" w:lineRule="exact"/>
      <w:ind w:firstLine="0" w:firstLineChars="0"/>
      <w:jc w:val="center"/>
      <w:outlineLvl w:val="0"/>
    </w:pPr>
    <w:rPr>
      <w:rFonts w:ascii="方正小标宋简体" w:hAnsi="方正小标宋简体" w:eastAsia="方正小标宋简体" w:cs="方正小标宋简体"/>
      <w:kern w:val="44"/>
      <w:sz w:val="44"/>
      <w:szCs w:val="24"/>
    </w:rPr>
  </w:style>
  <w:style w:type="paragraph" w:styleId="4">
    <w:name w:val="heading 2"/>
    <w:basedOn w:val="1"/>
    <w:next w:val="1"/>
    <w:link w:val="15"/>
    <w:unhideWhenUsed/>
    <w:qFormat/>
    <w:uiPriority w:val="0"/>
    <w:pPr>
      <w:keepNext w:val="0"/>
      <w:keepLines w:val="0"/>
      <w:spacing w:beforeLines="0" w:beforeAutospacing="0" w:afterLines="0" w:afterAutospacing="0" w:line="600" w:lineRule="exact"/>
      <w:ind w:firstLine="800" w:firstLineChars="200"/>
      <w:jc w:val="both"/>
      <w:outlineLvl w:val="1"/>
    </w:pPr>
    <w:rPr>
      <w:rFonts w:ascii="黑体" w:hAnsi="黑体" w:eastAsia="黑体"/>
      <w:spacing w:val="-6"/>
      <w:sz w:val="32"/>
      <w:szCs w:val="22"/>
    </w:rPr>
  </w:style>
  <w:style w:type="paragraph" w:styleId="5">
    <w:name w:val="heading 3"/>
    <w:basedOn w:val="1"/>
    <w:next w:val="1"/>
    <w:link w:val="16"/>
    <w:unhideWhenUsed/>
    <w:qFormat/>
    <w:uiPriority w:val="0"/>
    <w:pPr>
      <w:keepNext w:val="0"/>
      <w:keepLines w:val="0"/>
      <w:spacing w:beforeLines="0" w:beforeAutospacing="0" w:afterLines="0" w:afterAutospacing="0" w:line="600" w:lineRule="exact"/>
      <w:ind w:firstLine="640" w:firstLineChars="200"/>
      <w:jc w:val="both"/>
      <w:outlineLvl w:val="2"/>
    </w:pPr>
    <w:rPr>
      <w:rFonts w:ascii="楷体_GB2312" w:hAnsi="楷体_GB2312" w:eastAsia="楷体_GB2312"/>
      <w:b/>
      <w:spacing w:val="-6"/>
      <w:sz w:val="32"/>
    </w:rPr>
  </w:style>
  <w:style w:type="paragraph" w:styleId="6">
    <w:name w:val="heading 4"/>
    <w:basedOn w:val="1"/>
    <w:next w:val="1"/>
    <w:link w:val="17"/>
    <w:unhideWhenUsed/>
    <w:qFormat/>
    <w:uiPriority w:val="0"/>
    <w:pPr>
      <w:keepNext/>
      <w:keepLines/>
      <w:spacing w:beforeLines="0" w:beforeAutospacing="0" w:afterLines="0" w:afterAutospacing="0" w:line="600" w:lineRule="exact"/>
      <w:outlineLvl w:val="3"/>
    </w:pPr>
    <w:rPr>
      <w:rFonts w:ascii="仿宋_GB2312" w:hAnsi="仿宋_GB2312" w:eastAsia="仿宋_GB2312"/>
      <w:b/>
      <w:spacing w:val="-6"/>
      <w:sz w:val="32"/>
    </w:rPr>
  </w:style>
  <w:style w:type="character" w:default="1" w:styleId="12">
    <w:name w:val="Default Paragraph Font"/>
    <w:semiHidden/>
    <w:qFormat/>
    <w:uiPriority w:val="0"/>
    <w:rPr>
      <w:rFonts w:ascii="仿宋_GB2312" w:hAnsi="仿宋_GB2312" w:eastAsia="仿宋_GB2312" w:cs="仿宋_GB2312"/>
      <w:sz w:val="32"/>
      <w:szCs w:val="32"/>
    </w:rPr>
  </w:style>
  <w:style w:type="table" w:default="1" w:styleId="10">
    <w:name w:val="Normal Table"/>
    <w:semiHidden/>
    <w:qFormat/>
    <w:uiPriority w:val="0"/>
    <w:tblPr>
      <w:tblCellMar>
        <w:top w:w="0" w:type="dxa"/>
        <w:left w:w="108" w:type="dxa"/>
        <w:bottom w:w="0" w:type="dxa"/>
        <w:right w:w="108" w:type="dxa"/>
      </w:tblCellMar>
    </w:tblPr>
  </w:style>
  <w:style w:type="paragraph" w:customStyle="1" w:styleId="2">
    <w:name w:val="正文-公1"/>
    <w:basedOn w:val="1"/>
    <w:next w:val="1"/>
    <w:qFormat/>
    <w:uiPriority w:val="0"/>
    <w:pPr>
      <w:ind w:firstLine="200" w:firstLineChars="200"/>
      <w:jc w:val="left"/>
    </w:pPr>
    <w:rPr>
      <w:rFonts w:eastAsia="仿宋_GB2312"/>
    </w:rPr>
  </w:style>
  <w:style w:type="paragraph" w:styleId="7">
    <w:name w:val="Normal Indent"/>
    <w:qFormat/>
    <w:uiPriority w:val="0"/>
    <w:pPr>
      <w:adjustRightInd w:val="0"/>
      <w:snapToGrid w:val="0"/>
      <w:spacing w:line="600" w:lineRule="exact"/>
      <w:ind w:firstLine="420" w:firstLineChars="200"/>
      <w:jc w:val="both"/>
    </w:pPr>
    <w:rPr>
      <w:rFonts w:ascii="仿宋_GB2312" w:hAnsi="仿宋_GB2312" w:eastAsia="仿宋_GB2312" w:cs="Times New Roman"/>
      <w:sz w:val="32"/>
      <w:szCs w:val="22"/>
      <w:lang w:val="en-US" w:eastAsia="zh-CN" w:bidi="ar-SA"/>
    </w:rPr>
  </w:style>
  <w:style w:type="paragraph" w:styleId="8">
    <w:name w:val="footer"/>
    <w:basedOn w:val="1"/>
    <w:qFormat/>
    <w:uiPriority w:val="0"/>
    <w:pPr>
      <w:tabs>
        <w:tab w:val="center" w:pos="4153"/>
        <w:tab w:val="right" w:pos="8306"/>
      </w:tabs>
      <w:snapToGrid w:val="0"/>
      <w:spacing w:line="240" w:lineRule="auto"/>
      <w:ind w:firstLine="0" w:firstLineChars="0"/>
      <w:jc w:val="center"/>
    </w:pPr>
    <w:rPr>
      <w:rFonts w:ascii="黑体" w:hAnsi="黑体" w:eastAsia="黑体"/>
      <w:sz w:val="24"/>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3">
    <w:name w:val="落款"/>
    <w:basedOn w:val="1"/>
    <w:next w:val="1"/>
    <w:qFormat/>
    <w:uiPriority w:val="0"/>
    <w:pPr>
      <w:spacing w:line="600" w:lineRule="exact"/>
      <w:ind w:firstLine="0" w:firstLineChars="0"/>
      <w:jc w:val="center"/>
    </w:pPr>
    <w:rPr>
      <w:rFonts w:ascii="仿宋_GB2312" w:hAnsi="仿宋_GB2312" w:eastAsia="楷体_GB2312"/>
      <w:spacing w:val="-6"/>
      <w:sz w:val="32"/>
    </w:rPr>
  </w:style>
  <w:style w:type="character" w:customStyle="1" w:styleId="14">
    <w:name w:val="标题 1 Char"/>
    <w:link w:val="3"/>
    <w:qFormat/>
    <w:uiPriority w:val="0"/>
    <w:rPr>
      <w:rFonts w:ascii="方正小标宋简体" w:hAnsi="方正小标宋简体" w:eastAsia="方正小标宋简体" w:cs="方正小标宋简体"/>
      <w:kern w:val="44"/>
      <w:sz w:val="44"/>
      <w:szCs w:val="24"/>
    </w:rPr>
  </w:style>
  <w:style w:type="character" w:customStyle="1" w:styleId="15">
    <w:name w:val="标题 2 Char"/>
    <w:link w:val="4"/>
    <w:qFormat/>
    <w:uiPriority w:val="0"/>
    <w:rPr>
      <w:rFonts w:ascii="黑体" w:hAnsi="黑体" w:eastAsia="黑体" w:cs="Times New Roman"/>
      <w:spacing w:val="-6"/>
      <w:sz w:val="32"/>
      <w:szCs w:val="22"/>
    </w:rPr>
  </w:style>
  <w:style w:type="character" w:customStyle="1" w:styleId="16">
    <w:name w:val="标题 3 Char"/>
    <w:link w:val="5"/>
    <w:qFormat/>
    <w:uiPriority w:val="0"/>
    <w:rPr>
      <w:rFonts w:ascii="楷体_GB2312" w:hAnsi="楷体_GB2312" w:eastAsia="楷体_GB2312" w:cs="Times New Roman"/>
      <w:b/>
      <w:spacing w:val="-6"/>
      <w:sz w:val="32"/>
    </w:rPr>
  </w:style>
  <w:style w:type="character" w:customStyle="1" w:styleId="17">
    <w:name w:val="标题 4 Char"/>
    <w:link w:val="6"/>
    <w:qFormat/>
    <w:uiPriority w:val="0"/>
    <w:rPr>
      <w:rFonts w:ascii="仿宋_GB2312" w:hAnsi="仿宋_GB2312" w:eastAsia="仿宋_GB2312"/>
      <w:b/>
      <w:spacing w:val="-6"/>
      <w:sz w:val="32"/>
    </w:rPr>
  </w:style>
  <w:style w:type="paragraph" w:customStyle="1" w:styleId="18">
    <w:name w:val="表格"/>
    <w:basedOn w:val="1"/>
    <w:qFormat/>
    <w:uiPriority w:val="0"/>
    <w:pPr>
      <w:spacing w:before="20" w:beforeLines="20" w:after="20" w:afterLines="20" w:line="320" w:lineRule="exact"/>
      <w:ind w:left="64" w:leftChars="20" w:right="64" w:rightChars="20" w:firstLine="0" w:firstLineChars="0"/>
    </w:pPr>
    <w:rPr>
      <w:rFonts w:ascii="仿宋_GB2312" w:hAnsi="仿宋_GB2312" w:eastAsia="仿宋_GB2312" w:cs="仿宋_GB2312"/>
      <w:sz w:val="24"/>
      <w:szCs w:val="24"/>
    </w:rPr>
  </w:style>
  <w:style w:type="paragraph" w:customStyle="1" w:styleId="19">
    <w:name w:val="第X条"/>
    <w:basedOn w:val="1"/>
    <w:next w:val="1"/>
    <w:qFormat/>
    <w:uiPriority w:val="0"/>
    <w:rPr>
      <w:rFonts w:ascii="楷体_GB2312" w:hAnsi="楷体_GB2312" w:eastAsia="楷体_GB2312"/>
      <w:b/>
      <w:bCs/>
      <w:spacing w:val="-6"/>
      <w:sz w:val="32"/>
      <w:szCs w:val="32"/>
    </w:rPr>
  </w:style>
  <w:style w:type="paragraph" w:customStyle="1" w:styleId="20">
    <w:name w:val="表格标题"/>
    <w:basedOn w:val="1"/>
    <w:next w:val="1"/>
    <w:qFormat/>
    <w:uiPriority w:val="0"/>
    <w:pPr>
      <w:spacing w:line="700" w:lineRule="exact"/>
      <w:ind w:firstLine="0" w:firstLineChars="0"/>
      <w:jc w:val="center"/>
    </w:pPr>
    <w:rPr>
      <w:rFonts w:hint="eastAsia" w:ascii="方正小标宋简体" w:hAnsi="方正小标宋简体" w:eastAsia="方正小标宋简体" w:cs="Times New Roman"/>
      <w:spacing w:val="-6"/>
      <w:sz w:val="44"/>
      <w:szCs w:val="44"/>
    </w:rPr>
  </w:style>
  <w:style w:type="paragraph" w:customStyle="1" w:styleId="21">
    <w:name w:val="附件"/>
    <w:basedOn w:val="1"/>
    <w:next w:val="1"/>
    <w:link w:val="27"/>
    <w:qFormat/>
    <w:uiPriority w:val="0"/>
    <w:pPr>
      <w:spacing w:line="600" w:lineRule="exact"/>
      <w:ind w:firstLine="0" w:firstLineChars="0"/>
      <w:jc w:val="left"/>
    </w:pPr>
    <w:rPr>
      <w:rFonts w:ascii="黑体" w:hAnsi="黑体" w:eastAsia="黑体"/>
      <w:spacing w:val="-6"/>
      <w:sz w:val="32"/>
      <w:szCs w:val="32"/>
    </w:rPr>
  </w:style>
  <w:style w:type="paragraph" w:customStyle="1" w:styleId="22">
    <w:name w:val="第X章"/>
    <w:basedOn w:val="1"/>
    <w:next w:val="1"/>
    <w:qFormat/>
    <w:uiPriority w:val="0"/>
    <w:pPr>
      <w:spacing w:before="100" w:beforeLines="100" w:after="100" w:afterLines="100"/>
      <w:ind w:firstLine="0" w:firstLineChars="0"/>
      <w:jc w:val="center"/>
    </w:pPr>
    <w:rPr>
      <w:rFonts w:ascii="黑体" w:hAnsi="黑体" w:eastAsia="黑体" w:cs="Times New Roman"/>
      <w:spacing w:val="-6"/>
      <w:sz w:val="32"/>
      <w:szCs w:val="32"/>
    </w:rPr>
  </w:style>
  <w:style w:type="paragraph" w:customStyle="1" w:styleId="23">
    <w:name w:val="红头"/>
    <w:basedOn w:val="1"/>
    <w:next w:val="1"/>
    <w:qFormat/>
    <w:uiPriority w:val="0"/>
    <w:pPr>
      <w:spacing w:line="240" w:lineRule="auto"/>
      <w:ind w:left="160" w:leftChars="50" w:right="160" w:rightChars="50" w:firstLine="0" w:firstLineChars="0"/>
      <w:jc w:val="both"/>
    </w:pPr>
    <w:rPr>
      <w:rFonts w:ascii="方正小标宋简体" w:hAnsi="方正小标宋简体" w:eastAsia="方正小标宋简体" w:cs="宋体"/>
      <w:color w:val="FF0000"/>
      <w:spacing w:val="-6"/>
      <w:sz w:val="86"/>
      <w:szCs w:val="86"/>
    </w:rPr>
  </w:style>
  <w:style w:type="paragraph" w:customStyle="1" w:styleId="24">
    <w:name w:val="落款时间"/>
    <w:basedOn w:val="1"/>
    <w:qFormat/>
    <w:uiPriority w:val="0"/>
    <w:pPr>
      <w:ind w:right="960" w:rightChars="300" w:firstLine="0" w:firstLineChars="0"/>
      <w:jc w:val="right"/>
    </w:pPr>
    <w:rPr>
      <w:rFonts w:ascii="仿宋_GB2312" w:hAnsi="仿宋_GB2312" w:eastAsia="仿宋_GB2312"/>
      <w:spacing w:val="-6"/>
      <w:sz w:val="32"/>
      <w:szCs w:val="32"/>
    </w:rPr>
  </w:style>
  <w:style w:type="paragraph" w:customStyle="1" w:styleId="25">
    <w:name w:val="图片"/>
    <w:basedOn w:val="1"/>
    <w:qFormat/>
    <w:uiPriority w:val="0"/>
    <w:pPr>
      <w:spacing w:line="240" w:lineRule="auto"/>
      <w:ind w:firstLine="0" w:firstLineChars="0"/>
      <w:jc w:val="center"/>
    </w:pPr>
    <w:rPr>
      <w:rFonts w:hint="eastAsia" w:ascii="仿宋_GB2312" w:hAnsi="仿宋_GB2312" w:eastAsia="仿宋_GB2312"/>
      <w:spacing w:val="-6"/>
      <w:sz w:val="32"/>
    </w:rPr>
  </w:style>
  <w:style w:type="character" w:customStyle="1" w:styleId="26">
    <w:name w:val="NormalCharacter"/>
    <w:link w:val="1"/>
    <w:semiHidden/>
    <w:qFormat/>
    <w:uiPriority w:val="0"/>
    <w:rPr>
      <w:rFonts w:ascii="仿宋_GB2312" w:hAnsi="仿宋_GB2312" w:eastAsia="仿宋_GB2312" w:cs="宋体"/>
      <w:kern w:val="2"/>
      <w:sz w:val="32"/>
      <w:szCs w:val="24"/>
      <w:lang w:val="en-US" w:eastAsia="zh-CN" w:bidi="ar-SA"/>
    </w:rPr>
  </w:style>
  <w:style w:type="character" w:customStyle="1" w:styleId="27">
    <w:name w:val="附件 Char"/>
    <w:link w:val="21"/>
    <w:qFormat/>
    <w:uiPriority w:val="0"/>
    <w:rPr>
      <w:rFonts w:ascii="黑体" w:hAnsi="黑体" w:eastAsia="黑体"/>
      <w:spacing w:val="-6"/>
      <w:sz w:val="32"/>
      <w:szCs w:val="32"/>
    </w:rPr>
  </w:style>
  <w:style w:type="paragraph" w:customStyle="1" w:styleId="28">
    <w:name w:val="Other|1"/>
    <w:basedOn w:val="1"/>
    <w:qFormat/>
    <w:uiPriority w:val="0"/>
    <w:pPr>
      <w:widowControl w:val="0"/>
      <w:shd w:val="clear" w:color="auto" w:fill="auto"/>
      <w:spacing w:line="444" w:lineRule="auto"/>
      <w:ind w:firstLine="400"/>
    </w:pPr>
    <w:rPr>
      <w:rFonts w:ascii="宋体" w:hAnsi="宋体" w:eastAsia="宋体" w:cs="宋体"/>
      <w:sz w:val="28"/>
      <w:szCs w:val="28"/>
      <w:u w:val="none"/>
      <w:shd w:val="clear" w:color="auto" w:fill="auto"/>
      <w:lang w:val="zh-TW" w:eastAsia="zh-TW" w:bidi="zh-TW"/>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2024-03-11T17:18:00Z</dcterms:created>
  <dc:creator>user</dc:creator>
  <cp:lastModifiedBy>user</cp:lastModifiedBy>
  <dcterms:modified xsi:type="dcterms:W3CDTF">2024-03-11T10:50:24Z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y fmtid="{D5CDD505-2E9C-101B-9397-08002B2CF9AE}" pid="3" name="ICV">
    <vt:lpwstr>6AC9F257306C08DC005EEE652ECB1975</vt:lpwstr>
  </property>
</Properties>
</file>