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right"/>
        <w:textAlignment w:val="auto"/>
        <w:rPr>
          <w:rFonts w:hint="eastAsia" w:ascii="方正小标宋简体" w:hAnsi="Calibri" w:eastAsia="方正小标宋简体"/>
          <w:color w:val="FF0000"/>
          <w:kern w:val="2"/>
          <w:sz w:val="32"/>
          <w:szCs w:val="32"/>
        </w:rPr>
      </w:pPr>
      <w:r>
        <w:rPr>
          <w:rFonts w:ascii="微软雅黑" w:hAnsi="微软雅黑" w:eastAsia="微软雅黑" w:cs="微软雅黑"/>
          <w:i w:val="0"/>
          <w:iCs w:val="0"/>
          <w:caps w:val="0"/>
          <w:color w:val="171A1D"/>
          <w:spacing w:val="0"/>
          <w:kern w:val="2"/>
          <w:sz w:val="32"/>
          <w:szCs w:val="32"/>
          <w:shd w:val="clear" w:color="auto" w:fill="FFFFFF"/>
        </w:rPr>
        <w:t>ZJJC70-2022-0001</w:t>
      </w:r>
    </w:p>
    <w:p>
      <w:pPr>
        <w:topLinePunct w:val="0"/>
        <w:adjustRightInd/>
        <w:snapToGrid/>
        <w:spacing w:line="240" w:lineRule="auto"/>
        <w:ind w:firstLine="0" w:firstLineChars="0"/>
        <w:rPr>
          <w:rFonts w:hint="eastAsia" w:ascii="Calibri" w:hAnsi="Calibri" w:eastAsia="宋体" w:cs="Times New Roman"/>
          <w:kern w:val="2"/>
          <w:sz w:val="21"/>
          <w:szCs w:val="24"/>
        </w:rPr>
      </w:pPr>
    </w:p>
    <w:p>
      <w:pPr>
        <w:topLinePunct w:val="0"/>
        <w:adjustRightInd/>
        <w:snapToGrid/>
        <w:spacing w:line="240" w:lineRule="auto"/>
        <w:ind w:firstLine="0" w:firstLineChars="0"/>
        <w:rPr>
          <w:rFonts w:hint="eastAsia" w:ascii="Calibri" w:hAnsi="Calibri" w:eastAsia="宋体" w:cs="Times New Roman"/>
          <w:kern w:val="2"/>
          <w:sz w:val="21"/>
          <w:szCs w:val="24"/>
        </w:rPr>
      </w:pPr>
    </w:p>
    <w:tbl>
      <w:tblPr>
        <w:tblStyle w:val="11"/>
        <w:tblpPr w:leftFromText="181" w:rightFromText="181" w:vertAnchor="page" w:horzAnchor="page" w:tblpXSpec="center" w:tblpY="2609"/>
        <w:tblOverlap w:val="never"/>
        <w:tblW w:w="9055" w:type="dxa"/>
        <w:jc w:val="center"/>
        <w:tblInd w:w="0" w:type="dxa"/>
        <w:tblLayout w:type="fixed"/>
        <w:tblCellMar>
          <w:top w:w="0" w:type="dxa"/>
          <w:left w:w="108" w:type="dxa"/>
          <w:bottom w:w="0" w:type="dxa"/>
          <w:right w:w="108" w:type="dxa"/>
        </w:tblCellMar>
      </w:tblPr>
      <w:tblGrid>
        <w:gridCol w:w="6200"/>
        <w:gridCol w:w="1181"/>
        <w:gridCol w:w="339"/>
        <w:gridCol w:w="1335"/>
      </w:tblGrid>
      <w:tr>
        <w:tblPrEx>
          <w:tblLayout w:type="fixed"/>
          <w:tblCellMar>
            <w:top w:w="0" w:type="dxa"/>
            <w:left w:w="108" w:type="dxa"/>
            <w:bottom w:w="0" w:type="dxa"/>
            <w:right w:w="108" w:type="dxa"/>
          </w:tblCellMar>
        </w:tblPrEx>
        <w:trPr>
          <w:trHeight w:val="1417" w:hRule="exact"/>
          <w:jc w:val="center"/>
        </w:trPr>
        <w:tc>
          <w:tcPr>
            <w:tcW w:w="7381" w:type="dxa"/>
            <w:gridSpan w:val="2"/>
            <w:noWrap w:val="0"/>
            <w:vAlign w:val="center"/>
          </w:tcPr>
          <w:p>
            <w:pPr>
              <w:topLinePunct w:val="0"/>
              <w:adjustRightInd/>
              <w:snapToGrid/>
              <w:spacing w:line="240" w:lineRule="auto"/>
              <w:ind w:firstLine="0" w:firstLineChars="0"/>
              <w:jc w:val="distribute"/>
              <w:rPr>
                <w:rFonts w:ascii="方正小标宋简体" w:hAnsi="方正小标宋简体" w:eastAsia="方正小标宋简体" w:cs="方正小标宋简体"/>
                <w:color w:val="FF0000"/>
                <w:kern w:val="2"/>
                <w:sz w:val="86"/>
                <w:szCs w:val="86"/>
              </w:rPr>
            </w:pPr>
            <w:r>
              <w:rPr>
                <w:rFonts w:hint="eastAsia" w:ascii="方正小标宋简体" w:hAnsi="方正小标宋简体" w:eastAsia="方正小标宋简体" w:cs="方正小标宋简体"/>
                <w:color w:val="FF0000"/>
                <w:w w:val="90"/>
                <w:kern w:val="2"/>
                <w:sz w:val="86"/>
                <w:szCs w:val="86"/>
              </w:rPr>
              <w:t>台州市应急管理局</w:t>
            </w:r>
          </w:p>
        </w:tc>
        <w:tc>
          <w:tcPr>
            <w:tcW w:w="1674" w:type="dxa"/>
            <w:gridSpan w:val="2"/>
            <w:vMerge w:val="restart"/>
            <w:noWrap w:val="0"/>
            <w:vAlign w:val="center"/>
          </w:tcPr>
          <w:p>
            <w:pPr>
              <w:topLinePunct w:val="0"/>
              <w:adjustRightInd/>
              <w:snapToGrid/>
              <w:spacing w:line="240" w:lineRule="auto"/>
              <w:ind w:firstLine="0" w:firstLineChars="0"/>
              <w:jc w:val="center"/>
              <w:rPr>
                <w:rFonts w:hint="eastAsia" w:ascii="方正小标宋简体" w:hAnsi="Calibri" w:eastAsia="方正小标宋简体"/>
                <w:color w:val="FFFFFF"/>
                <w:w w:val="90"/>
                <w:kern w:val="2"/>
                <w:sz w:val="68"/>
                <w:szCs w:val="68"/>
              </w:rPr>
            </w:pPr>
            <w:r>
              <w:rPr>
                <w:rFonts w:hint="eastAsia" w:ascii="方正小标宋简体" w:hAnsi="Calibri" w:eastAsia="方正小标宋简体"/>
                <w:color w:val="FF0000"/>
                <w:spacing w:val="40"/>
                <w:w w:val="70"/>
                <w:kern w:val="2"/>
                <w:sz w:val="86"/>
                <w:szCs w:val="86"/>
              </w:rPr>
              <w:t>文件</w:t>
            </w:r>
          </w:p>
        </w:tc>
      </w:tr>
      <w:tr>
        <w:tblPrEx>
          <w:tblLayout w:type="fixed"/>
          <w:tblCellMar>
            <w:top w:w="0" w:type="dxa"/>
            <w:left w:w="108" w:type="dxa"/>
            <w:bottom w:w="0" w:type="dxa"/>
            <w:right w:w="108" w:type="dxa"/>
          </w:tblCellMar>
        </w:tblPrEx>
        <w:trPr>
          <w:trHeight w:val="1417" w:hRule="exact"/>
          <w:jc w:val="center"/>
        </w:trPr>
        <w:tc>
          <w:tcPr>
            <w:tcW w:w="7381" w:type="dxa"/>
            <w:gridSpan w:val="2"/>
            <w:noWrap w:val="0"/>
            <w:vAlign w:val="center"/>
          </w:tcPr>
          <w:p>
            <w:pPr>
              <w:topLinePunct w:val="0"/>
              <w:adjustRightInd/>
              <w:snapToGrid/>
              <w:spacing w:line="240" w:lineRule="auto"/>
              <w:ind w:firstLine="0" w:firstLineChars="0"/>
              <w:jc w:val="distribute"/>
              <w:rPr>
                <w:rFonts w:hint="eastAsia" w:ascii="方正小标宋简体" w:hAnsi="方正小标宋简体" w:eastAsia="方正小标宋简体" w:cs="方正小标宋简体"/>
                <w:color w:val="FF0000"/>
                <w:kern w:val="2"/>
                <w:sz w:val="86"/>
                <w:szCs w:val="86"/>
              </w:rPr>
            </w:pPr>
            <w:r>
              <w:rPr>
                <w:rFonts w:hint="eastAsia" w:ascii="方正小标宋简体" w:hAnsi="方正小标宋简体" w:eastAsia="方正小标宋简体" w:cs="方正小标宋简体"/>
                <w:color w:val="FF0000"/>
                <w:w w:val="60"/>
                <w:kern w:val="2"/>
                <w:sz w:val="86"/>
                <w:szCs w:val="86"/>
              </w:rPr>
              <w:t>台州市</w:t>
            </w:r>
            <w:r>
              <w:rPr>
                <w:rFonts w:hint="eastAsia" w:ascii="方正小标宋简体" w:hAnsi="方正小标宋简体" w:eastAsia="方正小标宋简体" w:cs="方正小标宋简体"/>
                <w:color w:val="FF0000"/>
                <w:w w:val="60"/>
                <w:kern w:val="2"/>
                <w:sz w:val="86"/>
                <w:szCs w:val="86"/>
                <w:lang w:eastAsia="zh-CN"/>
              </w:rPr>
              <w:t>人力资源和社会保障</w:t>
            </w:r>
            <w:r>
              <w:rPr>
                <w:rFonts w:hint="eastAsia" w:ascii="方正小标宋简体" w:hAnsi="方正小标宋简体" w:eastAsia="方正小标宋简体" w:cs="方正小标宋简体"/>
                <w:color w:val="FF0000"/>
                <w:w w:val="60"/>
                <w:kern w:val="2"/>
                <w:sz w:val="86"/>
                <w:szCs w:val="86"/>
              </w:rPr>
              <w:t>局</w:t>
            </w:r>
          </w:p>
        </w:tc>
        <w:tc>
          <w:tcPr>
            <w:tcW w:w="1674" w:type="dxa"/>
            <w:gridSpan w:val="2"/>
            <w:vMerge w:val="continue"/>
            <w:noWrap w:val="0"/>
            <w:vAlign w:val="center"/>
          </w:tcPr>
          <w:p>
            <w:pPr>
              <w:topLinePunct w:val="0"/>
              <w:adjustRightInd/>
              <w:snapToGrid/>
              <w:spacing w:line="240" w:lineRule="auto"/>
              <w:ind w:firstLine="0" w:firstLineChars="0"/>
              <w:jc w:val="center"/>
              <w:rPr>
                <w:rFonts w:hint="eastAsia" w:ascii="方正小标宋简体" w:hAnsi="Calibri" w:eastAsia="方正小标宋简体"/>
                <w:color w:val="FFFFFF"/>
                <w:w w:val="90"/>
                <w:kern w:val="2"/>
                <w:sz w:val="68"/>
                <w:szCs w:val="68"/>
              </w:rPr>
            </w:pPr>
          </w:p>
        </w:tc>
      </w:tr>
      <w:tr>
        <w:tblPrEx>
          <w:tblLayout w:type="fixed"/>
          <w:tblCellMar>
            <w:top w:w="0" w:type="dxa"/>
            <w:left w:w="108" w:type="dxa"/>
            <w:bottom w:w="0" w:type="dxa"/>
            <w:right w:w="108" w:type="dxa"/>
          </w:tblCellMar>
        </w:tblPrEx>
        <w:trPr>
          <w:trHeight w:val="791" w:hRule="atLeast"/>
          <w:jc w:val="center"/>
        </w:trPr>
        <w:tc>
          <w:tcPr>
            <w:tcW w:w="6200" w:type="dxa"/>
            <w:noWrap w:val="0"/>
            <w:vAlign w:val="bottom"/>
          </w:tcPr>
          <w:p>
            <w:pPr>
              <w:topLinePunct w:val="0"/>
              <w:adjustRightInd/>
              <w:snapToGrid/>
              <w:spacing w:line="240" w:lineRule="auto"/>
              <w:ind w:firstLine="0" w:firstLineChars="0"/>
              <w:rPr>
                <w:rFonts w:hint="eastAsia" w:ascii="Calibri" w:hAnsi="Calibri" w:eastAsia="宋体"/>
                <w:kern w:val="2"/>
                <w:sz w:val="21"/>
                <w:szCs w:val="24"/>
              </w:rPr>
            </w:pPr>
          </w:p>
        </w:tc>
        <w:tc>
          <w:tcPr>
            <w:tcW w:w="1520" w:type="dxa"/>
            <w:gridSpan w:val="2"/>
            <w:noWrap w:val="0"/>
            <w:vAlign w:val="bottom"/>
          </w:tcPr>
          <w:p>
            <w:pPr>
              <w:topLinePunct w:val="0"/>
              <w:adjustRightInd/>
              <w:snapToGrid/>
              <w:spacing w:line="240" w:lineRule="auto"/>
              <w:ind w:firstLine="0" w:firstLineChars="0"/>
              <w:rPr>
                <w:rFonts w:hint="eastAsia" w:ascii="Calibri" w:hAnsi="Calibri" w:eastAsia="宋体"/>
                <w:kern w:val="2"/>
                <w:sz w:val="21"/>
                <w:szCs w:val="24"/>
              </w:rPr>
            </w:pPr>
          </w:p>
        </w:tc>
        <w:tc>
          <w:tcPr>
            <w:tcW w:w="1335" w:type="dxa"/>
            <w:noWrap w:val="0"/>
            <w:vAlign w:val="bottom"/>
          </w:tcPr>
          <w:p>
            <w:pPr>
              <w:topLinePunct w:val="0"/>
              <w:adjustRightInd/>
              <w:snapToGrid/>
              <w:spacing w:line="360" w:lineRule="exact"/>
              <w:ind w:firstLine="0" w:firstLineChars="0"/>
              <w:jc w:val="center"/>
              <w:rPr>
                <w:rFonts w:hint="eastAsia" w:ascii="Calibri" w:hAnsi="Calibri" w:eastAsia="宋体"/>
                <w:kern w:val="2"/>
                <w:sz w:val="21"/>
                <w:szCs w:val="24"/>
              </w:rPr>
            </w:pPr>
          </w:p>
        </w:tc>
      </w:tr>
      <w:tr>
        <w:tblPrEx>
          <w:tblLayout w:type="fixed"/>
          <w:tblCellMar>
            <w:top w:w="0" w:type="dxa"/>
            <w:left w:w="108" w:type="dxa"/>
            <w:bottom w:w="0" w:type="dxa"/>
            <w:right w:w="108" w:type="dxa"/>
          </w:tblCellMar>
        </w:tblPrEx>
        <w:trPr>
          <w:trHeight w:val="791" w:hRule="atLeast"/>
          <w:jc w:val="center"/>
        </w:trPr>
        <w:tc>
          <w:tcPr>
            <w:tcW w:w="9055" w:type="dxa"/>
            <w:gridSpan w:val="4"/>
            <w:tcBorders>
              <w:bottom w:val="single" w:color="FF0000" w:sz="18" w:space="0"/>
            </w:tcBorders>
            <w:noWrap w:val="0"/>
            <w:vAlign w:val="center"/>
          </w:tcPr>
          <w:p>
            <w:pPr>
              <w:topLinePunct w:val="0"/>
              <w:adjustRightInd/>
              <w:snapToGrid/>
              <w:spacing w:line="400" w:lineRule="exact"/>
              <w:ind w:firstLine="0" w:firstLineChars="0"/>
              <w:jc w:val="center"/>
              <w:rPr>
                <w:rFonts w:hint="eastAsia" w:ascii="仿宋_GB2312" w:hAnsi="Calibri" w:eastAsia="仿宋_GB2312"/>
                <w:color w:val="000000"/>
                <w:kern w:val="2"/>
                <w:sz w:val="32"/>
                <w:szCs w:val="32"/>
              </w:rPr>
            </w:pPr>
            <w:r>
              <w:rPr>
                <w:rFonts w:hint="eastAsia" w:ascii="仿宋_GB2312" w:hAnsi="仿宋_GB2312" w:eastAsia="仿宋_GB2312" w:cs="仿宋_GB2312"/>
                <w:color w:val="000000"/>
                <w:kern w:val="2"/>
                <w:sz w:val="32"/>
                <w:szCs w:val="32"/>
              </w:rPr>
              <w:t>台应急〔2022〕</w:t>
            </w:r>
            <w:r>
              <w:rPr>
                <w:rFonts w:hint="eastAsia" w:cs="仿宋_GB2312"/>
                <w:color w:val="000000"/>
                <w:kern w:val="2"/>
                <w:sz w:val="32"/>
                <w:szCs w:val="32"/>
                <w:lang w:val="en-US" w:eastAsia="zh-CN"/>
              </w:rPr>
              <w:t>35</w:t>
            </w:r>
            <w:r>
              <w:rPr>
                <w:rFonts w:hint="eastAsia" w:ascii="仿宋_GB2312" w:hAnsi="仿宋_GB2312" w:eastAsia="仿宋_GB2312" w:cs="仿宋_GB2312"/>
                <w:color w:val="000000"/>
                <w:kern w:val="2"/>
                <w:sz w:val="32"/>
                <w:szCs w:val="32"/>
              </w:rPr>
              <w:t>号</w:t>
            </w:r>
          </w:p>
        </w:tc>
      </w:tr>
    </w:tbl>
    <w:p>
      <w:pPr>
        <w:topLinePunct w:val="0"/>
        <w:bidi w:val="0"/>
        <w:adjustRightInd/>
        <w:snapToGrid/>
        <w:spacing w:line="240" w:lineRule="auto"/>
        <w:ind w:firstLine="0" w:firstLineChars="0"/>
        <w:rPr>
          <w:rFonts w:ascii="Calibri" w:hAnsi="Calibri" w:eastAsia="宋体"/>
          <w:kern w:val="2"/>
          <w:sz w:val="21"/>
          <w:szCs w:val="24"/>
        </w:rPr>
      </w:pPr>
    </w:p>
    <w:p>
      <w:pPr>
        <w:pStyle w:val="6"/>
      </w:pPr>
    </w:p>
    <w:p>
      <w:pPr>
        <w:pStyle w:val="3"/>
        <w:bidi w:val="0"/>
        <w:rPr>
          <w:rFonts w:hint="eastAsia"/>
        </w:rPr>
      </w:pPr>
      <w:r>
        <w:rPr>
          <w:rFonts w:hint="eastAsia"/>
        </w:rPr>
        <w:t>关于印发《台州市应急管理领域专业技术人员工程师职务任职资格评审实施方案（试行）》的通知</w:t>
      </w:r>
    </w:p>
    <w:p>
      <w:pPr>
        <w:rPr>
          <w:rFonts w:hint="eastAsia"/>
        </w:rPr>
      </w:pPr>
    </w:p>
    <w:p>
      <w:pPr>
        <w:ind w:left="0" w:leftChars="0" w:firstLine="0" w:firstLineChars="0"/>
        <w:rPr>
          <w:rFonts w:hint="eastAsia"/>
        </w:rPr>
      </w:pPr>
      <w:r>
        <w:rPr>
          <w:rFonts w:hint="eastAsia"/>
        </w:rPr>
        <w:t>各县（市、区）应急管理局、人力资源和社会保障局，市级有关单位:</w:t>
      </w:r>
    </w:p>
    <w:p>
      <w:pPr>
        <w:rPr>
          <w:rFonts w:hint="eastAsia"/>
        </w:rPr>
      </w:pPr>
      <w:r>
        <w:rPr>
          <w:rFonts w:hint="eastAsia"/>
        </w:rPr>
        <w:t>根据国家和我省职称制度改革精神，结合我市安全工程、防灾减灾、应急救援领域专业技术人才队伍管理工作实际，特制定《台州市应急管理领域专业技术人员工程师职务任职资格评审实施方案（试行）》,现印发给你们，请结合本地区、本部门实际认真贯彻实施。执行中遇到问题，请及时反馈市应急管理局。</w:t>
      </w:r>
    </w:p>
    <w:p>
      <w:pPr>
        <w:rPr>
          <w:rFonts w:hint="eastAsia"/>
        </w:rPr>
      </w:pPr>
    </w:p>
    <w:p>
      <w:pPr>
        <w:rPr>
          <w:rFonts w:hint="eastAsia"/>
        </w:rPr>
      </w:pPr>
    </w:p>
    <w:p>
      <w:pPr>
        <w:pStyle w:val="6"/>
        <w:rPr>
          <w:rFonts w:hint="eastAsia"/>
        </w:rPr>
      </w:pPr>
    </w:p>
    <w:p>
      <w:pPr>
        <w:ind w:left="0" w:leftChars="0" w:firstLine="0" w:firstLineChars="0"/>
        <w:rPr>
          <w:rFonts w:hint="eastAsia"/>
        </w:rPr>
      </w:pPr>
      <w:r>
        <w:rPr>
          <w:rFonts w:hint="eastAsia"/>
        </w:rPr>
        <w:t xml:space="preserve">台州市应急管理局   </w:t>
      </w:r>
      <w:r>
        <w:rPr>
          <w:rFonts w:hint="eastAsia"/>
          <w:lang w:val="en-US" w:eastAsia="zh-CN"/>
        </w:rPr>
        <w:t xml:space="preserve">       </w:t>
      </w:r>
      <w:r>
        <w:rPr>
          <w:rFonts w:hint="eastAsia"/>
        </w:rPr>
        <w:t xml:space="preserve">   台州市人力资源和社会保障局</w:t>
      </w:r>
    </w:p>
    <w:p>
      <w:pPr>
        <w:wordWrap w:val="0"/>
        <w:jc w:val="right"/>
        <w:rPr>
          <w:rFonts w:hint="default" w:eastAsia="仿宋_GB2312"/>
          <w:lang w:val="en-US" w:eastAsia="zh-CN"/>
        </w:rPr>
      </w:pPr>
      <w:r>
        <w:rPr>
          <w:rFonts w:hint="eastAsia"/>
        </w:rPr>
        <w:t>2022年8月</w:t>
      </w:r>
      <w:r>
        <w:rPr>
          <w:rFonts w:hint="eastAsia"/>
          <w:lang w:val="en-US" w:eastAsia="zh-CN"/>
        </w:rPr>
        <w:t>31</w:t>
      </w:r>
      <w:r>
        <w:rPr>
          <w:rFonts w:hint="eastAsia"/>
        </w:rPr>
        <w:t>日</w:t>
      </w:r>
      <w:r>
        <w:rPr>
          <w:rFonts w:hint="eastAsia"/>
          <w:lang w:val="en-US" w:eastAsia="zh-CN"/>
        </w:rPr>
        <w:t xml:space="preserve">      </w:t>
      </w:r>
    </w:p>
    <w:p>
      <w:pPr>
        <w:rPr>
          <w:rFonts w:hint="eastAsia"/>
        </w:rPr>
      </w:pPr>
    </w:p>
    <w:p>
      <w:pPr>
        <w:rPr>
          <w:rFonts w:hint="eastAsia"/>
        </w:rPr>
        <w:sectPr>
          <w:footerReference r:id="rId3" w:type="default"/>
          <w:pgSz w:w="11906" w:h="16838"/>
          <w:pgMar w:top="1701" w:right="1531" w:bottom="1701" w:left="1531" w:header="851" w:footer="992" w:gutter="0"/>
          <w:pgNumType w:fmt="decimal"/>
          <w:cols w:space="0" w:num="1"/>
          <w:rtlGutter w:val="0"/>
          <w:docGrid w:type="lines" w:linePitch="312" w:charSpace="0"/>
        </w:sectPr>
      </w:pPr>
    </w:p>
    <w:p>
      <w:pPr>
        <w:pStyle w:val="3"/>
        <w:bidi w:val="0"/>
        <w:rPr>
          <w:rFonts w:hint="eastAsia"/>
        </w:rPr>
      </w:pPr>
      <w:r>
        <w:rPr>
          <w:rFonts w:hint="eastAsia"/>
        </w:rPr>
        <w:t>台州市应急管理领域专业技术人员工程师</w:t>
      </w:r>
    </w:p>
    <w:p>
      <w:pPr>
        <w:pStyle w:val="3"/>
        <w:bidi w:val="0"/>
        <w:rPr>
          <w:rFonts w:hint="eastAsia"/>
        </w:rPr>
      </w:pPr>
      <w:r>
        <w:rPr>
          <w:rFonts w:hint="eastAsia"/>
        </w:rPr>
        <w:t>职务任职资格评审实施方案（试行）</w:t>
      </w:r>
    </w:p>
    <w:p>
      <w:pPr>
        <w:rPr>
          <w:rFonts w:hint="eastAsia"/>
        </w:rPr>
      </w:pPr>
    </w:p>
    <w:p>
      <w:pPr>
        <w:rPr>
          <w:rFonts w:hint="eastAsia"/>
        </w:rPr>
      </w:pPr>
      <w:r>
        <w:rPr>
          <w:rFonts w:hint="eastAsia"/>
        </w:rPr>
        <w:t>应急管理领域专业技术人才肩负着实施安全发展战略的时代使命，培育和造就应急管理领域专业技术领军人才、加强应急管理领域专业技术人才队伍建设是时代需要。根据国家有关职称制度改革要求和省委办公厅、省政府办公厅《关于深化职称制度改革的实施意见》等文件精神，以及省应急管理厅省人力资源和社会保障厅有关文件要求，结合我市应急管理领域专业行业特点，制定本实施方案。</w:t>
      </w:r>
    </w:p>
    <w:p>
      <w:pPr>
        <w:pStyle w:val="4"/>
        <w:bidi w:val="0"/>
        <w:rPr>
          <w:rFonts w:hint="eastAsia"/>
        </w:rPr>
      </w:pPr>
      <w:r>
        <w:rPr>
          <w:rFonts w:hint="eastAsia"/>
        </w:rPr>
        <w:t>一、指导思想</w:t>
      </w:r>
    </w:p>
    <w:p>
      <w:pPr>
        <w:rPr>
          <w:rFonts w:hint="eastAsia"/>
        </w:rPr>
      </w:pPr>
      <w:r>
        <w:rPr>
          <w:rFonts w:hint="eastAsia"/>
        </w:rPr>
        <w:t>深入贯彻落实国家、省委省政府和市委市政府深化职称制度改革精神，以培养和造就我市应急管理领域“行业大家”为导向，以用活用好应急管理领域专业技术人才为目标，以品德、能力、业绩综合评价为重点，加快形成导向清晰、评价科学、管理规范、优中选优的应急管理领域专业技术人才职称制度，建立结构合理、素质过硬的专业技术人才队伍，为推动我市应急事业发展提供坚实的人才保障。</w:t>
      </w:r>
    </w:p>
    <w:p>
      <w:pPr>
        <w:pStyle w:val="4"/>
        <w:bidi w:val="0"/>
        <w:rPr>
          <w:rFonts w:hint="eastAsia"/>
        </w:rPr>
      </w:pPr>
      <w:r>
        <w:rPr>
          <w:rFonts w:hint="eastAsia"/>
        </w:rPr>
        <w:t>二、评审原则</w:t>
      </w:r>
    </w:p>
    <w:p>
      <w:pPr>
        <w:rPr>
          <w:rFonts w:hint="eastAsia"/>
        </w:rPr>
      </w:pPr>
      <w:r>
        <w:rPr>
          <w:rStyle w:val="16"/>
          <w:rFonts w:hint="eastAsia"/>
        </w:rPr>
        <w:t>（一）实施分类评审。</w:t>
      </w:r>
      <w:r>
        <w:rPr>
          <w:rFonts w:hint="eastAsia"/>
        </w:rPr>
        <w:t>根据省应急管理厅应急管理领域专业的设置与我市发展特点，应急管理领域工程师设“安全工程”、“应急救援”和“防灾减灾”3个评审类别，按类别针对性设置专业技术能力与业绩评价条件，激发各类人才创造活力。安全工程工程师设“安全科学应用”、“安全技术服务”和“安全生产管理”3个评审专业，防灾减灾工程师设“防灾减灾基础建设”与“防灾减灾技术”2个评审专业，应急救援工程师设“应急救援管理与指挥”与“应急救援技术”2个评审专业。</w:t>
      </w:r>
    </w:p>
    <w:p>
      <w:pPr>
        <w:rPr>
          <w:rFonts w:hint="eastAsia"/>
        </w:rPr>
      </w:pPr>
      <w:r>
        <w:rPr>
          <w:rStyle w:val="16"/>
          <w:rFonts w:hint="eastAsia"/>
        </w:rPr>
        <w:t>（二）严肃评审纪律。</w:t>
      </w:r>
      <w:r>
        <w:rPr>
          <w:rFonts w:hint="eastAsia"/>
        </w:rPr>
        <w:t>参与应急管理领域专业技术人员工程师职务评审的专家评委和工作人员，应遵循实事求是、公平公正原则，严格遵守职称评审程序、评审工作纪律和相关文件规定，不得利用职权徇私舞弊，不得违反保密规定擅自泄露评审有关事项，确保应急管理领域专业技术人才评审工作的严肃性、权威性和公正性。</w:t>
      </w:r>
    </w:p>
    <w:p>
      <w:pPr>
        <w:pStyle w:val="4"/>
        <w:bidi w:val="0"/>
        <w:rPr>
          <w:rFonts w:hint="eastAsia"/>
        </w:rPr>
      </w:pPr>
      <w:r>
        <w:rPr>
          <w:rFonts w:hint="eastAsia"/>
        </w:rPr>
        <w:t>三、主要内容</w:t>
      </w:r>
    </w:p>
    <w:p>
      <w:pPr>
        <w:rPr>
          <w:rFonts w:hint="eastAsia"/>
        </w:rPr>
      </w:pPr>
      <w:r>
        <w:rPr>
          <w:rStyle w:val="16"/>
          <w:rFonts w:hint="eastAsia"/>
        </w:rPr>
        <w:t>（一）评价标准。</w:t>
      </w:r>
      <w:r>
        <w:rPr>
          <w:rFonts w:hint="eastAsia"/>
        </w:rPr>
        <w:t>市应急管理局会同市人力资源和社会保障局，按照应急管理领域专业发展规律，研究制定了《台州市安全工程专业技术人员工程师职务任职资格评价条件（试行）》《台州市应急救援专业工程师职务任职资格评价条件（试行）》和《台州市防灾减灾专业工程师职务任职资格评价条件（试行）》（见附件），作为评审工作规范性文件。</w:t>
      </w:r>
    </w:p>
    <w:p>
      <w:pPr>
        <w:rPr>
          <w:rFonts w:hint="eastAsia"/>
        </w:rPr>
      </w:pPr>
      <w:r>
        <w:rPr>
          <w:rStyle w:val="16"/>
          <w:rFonts w:hint="eastAsia"/>
        </w:rPr>
        <w:t>（二）评审时间。</w:t>
      </w:r>
      <w:r>
        <w:rPr>
          <w:rFonts w:hint="eastAsia"/>
        </w:rPr>
        <w:t>台州市应急管理领域专业技术人员工程师职务任职资格评审工作每年组织开展1次。</w:t>
      </w:r>
    </w:p>
    <w:p>
      <w:pPr>
        <w:pStyle w:val="5"/>
        <w:bidi w:val="0"/>
        <w:rPr>
          <w:rFonts w:hint="eastAsia"/>
        </w:rPr>
      </w:pPr>
      <w:r>
        <w:rPr>
          <w:rFonts w:hint="eastAsia"/>
        </w:rPr>
        <w:t>（三）评审主体。</w:t>
      </w:r>
    </w:p>
    <w:p>
      <w:pPr>
        <w:rPr>
          <w:rFonts w:hint="eastAsia"/>
        </w:rPr>
      </w:pPr>
      <w:r>
        <w:rPr>
          <w:rFonts w:hint="eastAsia"/>
          <w:b/>
          <w:bCs/>
        </w:rPr>
        <w:t>1.评审委员会。</w:t>
      </w:r>
      <w:r>
        <w:rPr>
          <w:rFonts w:hint="eastAsia"/>
        </w:rPr>
        <w:t>台州市应急管理领域专业技术人员工程师职务任职资格评审委员会由市应急管理局负责管理，评审委员会办公室设在市应急管理局办公室。评审委员会设主任委员1名，副主任委员若干名，主任委员或副主任委员负责主持评审会议。</w:t>
      </w:r>
    </w:p>
    <w:p>
      <w:pPr>
        <w:rPr>
          <w:rFonts w:hint="eastAsia"/>
        </w:rPr>
      </w:pPr>
      <w:r>
        <w:rPr>
          <w:rFonts w:hint="eastAsia"/>
          <w:b/>
          <w:bCs/>
        </w:rPr>
        <w:t>2.评审专家库。</w:t>
      </w:r>
      <w:r>
        <w:rPr>
          <w:rFonts w:hint="eastAsia"/>
        </w:rPr>
        <w:t>市应急管理局办公室负责组建应急管理领域专业技术人员工程师任职资格评审委员会专家库以及相应的主任委员、副主任委员库、成员库和专业评议组组长及成员库。专家要具有良好的职业道德和较高的业务素质，熟悉行业人才队伍的发展现状和方向，了解职称评审有关政策，具有一定的人才评价工作经验。评审委员会专家库成员须由行业内具有高级职称3年以上的专家担任；专家库总人数按照评审委员会规定人数的3倍以上建立，其中45周岁以下的专家一般不少于总数的1/3。评审委员会专家库实行动态管理，一般每3年调整1次，每次调整人数在1/3以上。</w:t>
      </w:r>
    </w:p>
    <w:p>
      <w:pPr>
        <w:rPr>
          <w:rFonts w:hint="eastAsia"/>
        </w:rPr>
      </w:pPr>
      <w:r>
        <w:rPr>
          <w:rFonts w:hint="eastAsia"/>
          <w:b/>
          <w:bCs/>
        </w:rPr>
        <w:t>3.年度执行评审委员会。</w:t>
      </w:r>
      <w:r>
        <w:rPr>
          <w:rFonts w:hint="eastAsia"/>
        </w:rPr>
        <w:t>应急管理领域专业技术人员工程师年度执行评审委员会由不少于13人的专家成员组成，专家成员根据专业配比，从应急管理领域专业技术人员工程师资格评审委员会专家库中随机抽取产生。</w:t>
      </w:r>
    </w:p>
    <w:p>
      <w:pPr>
        <w:pStyle w:val="4"/>
        <w:bidi w:val="0"/>
        <w:rPr>
          <w:rFonts w:hint="eastAsia"/>
        </w:rPr>
      </w:pPr>
      <w:r>
        <w:rPr>
          <w:rFonts w:hint="eastAsia"/>
        </w:rPr>
        <w:t>四、实施流程</w:t>
      </w:r>
    </w:p>
    <w:p>
      <w:pPr>
        <w:rPr>
          <w:rFonts w:hint="eastAsia"/>
        </w:rPr>
      </w:pPr>
      <w:r>
        <w:rPr>
          <w:rStyle w:val="16"/>
          <w:rFonts w:hint="eastAsia"/>
        </w:rPr>
        <w:t>（一）工作部署。</w:t>
      </w:r>
      <w:r>
        <w:rPr>
          <w:rFonts w:hint="eastAsia"/>
        </w:rPr>
        <w:t>市人力资源和社会保障局指导市应急管理局，向社会公开评价条件，发布年度评审通知，明确相关申报评审要求和程序，应急管理领域专业技术人员工程师资格评审委员会组织实施评审。</w:t>
      </w:r>
    </w:p>
    <w:p>
      <w:pPr>
        <w:rPr>
          <w:rFonts w:hint="eastAsia"/>
        </w:rPr>
      </w:pPr>
      <w:r>
        <w:rPr>
          <w:rStyle w:val="16"/>
          <w:rFonts w:hint="eastAsia"/>
        </w:rPr>
        <w:t>（二）组建年度执行评审委员会。</w:t>
      </w:r>
      <w:r>
        <w:rPr>
          <w:rFonts w:hint="eastAsia"/>
        </w:rPr>
        <w:t>召开评审会议前，评审委员会办公室从专家库中随机抽取不少于13名成员组成年度执行评审委员会，出席评审会议的专家人数不少于年度执行评审委员会人数的2/3。年度执行评审委员会下设专业评议组，每个专业评议组不少于3名专家。</w:t>
      </w:r>
    </w:p>
    <w:p>
      <w:pPr>
        <w:pStyle w:val="5"/>
        <w:bidi w:val="0"/>
        <w:rPr>
          <w:rFonts w:hint="eastAsia"/>
        </w:rPr>
      </w:pPr>
      <w:r>
        <w:rPr>
          <w:rFonts w:hint="eastAsia"/>
        </w:rPr>
        <w:t>（三）申报评审。</w:t>
      </w:r>
    </w:p>
    <w:p>
      <w:pPr>
        <w:rPr>
          <w:rFonts w:hint="eastAsia"/>
        </w:rPr>
      </w:pPr>
      <w:r>
        <w:rPr>
          <w:rFonts w:hint="eastAsia"/>
          <w:b/>
          <w:bCs/>
        </w:rPr>
        <w:t>1.个人申报。</w:t>
      </w:r>
      <w:r>
        <w:rPr>
          <w:rFonts w:hint="eastAsia"/>
        </w:rPr>
        <w:t>专业技术人员根据评价条件，准备相应评审材料，登录浙江省专业技术职务任职资格申报与评审管理服务平台(网址：https://zcps.rlsbt.zj.gov.cn)进行申报，并对所有申报材料的真实性做出承诺。</w:t>
      </w:r>
    </w:p>
    <w:p>
      <w:pPr>
        <w:rPr>
          <w:rFonts w:hint="eastAsia"/>
        </w:rPr>
      </w:pPr>
      <w:r>
        <w:rPr>
          <w:rFonts w:hint="eastAsia"/>
          <w:b/>
          <w:bCs/>
        </w:rPr>
        <w:t>2.单位考核推荐。</w:t>
      </w:r>
      <w:r>
        <w:rPr>
          <w:rFonts w:hint="eastAsia"/>
        </w:rPr>
        <w:t>用人单位根据工作岗位需要，对申报人员进行考核推荐，并将所有申报材料在单位内部公示不少于5个工作日。</w:t>
      </w:r>
    </w:p>
    <w:p>
      <w:pPr>
        <w:rPr>
          <w:rFonts w:hint="eastAsia"/>
        </w:rPr>
      </w:pPr>
      <w:r>
        <w:rPr>
          <w:rFonts w:hint="eastAsia"/>
          <w:b/>
          <w:bCs/>
        </w:rPr>
        <w:t>3.材料报送。</w:t>
      </w:r>
      <w:r>
        <w:rPr>
          <w:rFonts w:hint="eastAsia"/>
        </w:rPr>
        <w:t>民营企业按照属地管辖原则，申报人员导出带有“浙江省专业技术任职资格申报与评审管理平台”水印的评审表（一式两份）经所在单位审核盖章后报所属区、县（市）受理点材料接收点。</w:t>
      </w:r>
    </w:p>
    <w:p>
      <w:pPr>
        <w:rPr>
          <w:rFonts w:hint="eastAsia"/>
        </w:rPr>
      </w:pPr>
      <w:r>
        <w:rPr>
          <w:rFonts w:hint="eastAsia"/>
        </w:rPr>
        <w:t>区县所属的企事业单位申报人员，导出带有“浙江省专业技术任职资格申报与评审管理平台”水印的评审表（一式两份），经所在单位审核盖章后报所属区、县（市）受理点材料接收点。</w:t>
      </w:r>
    </w:p>
    <w:p>
      <w:pPr>
        <w:rPr>
          <w:rFonts w:hint="eastAsia"/>
        </w:rPr>
      </w:pPr>
      <w:r>
        <w:rPr>
          <w:rFonts w:hint="eastAsia"/>
        </w:rPr>
        <w:t>市直单位所属的企事业单位申报人员，导出带有“浙江省专业技术任职资格申报与评审管理平台”水印的评审表（一式两份）报送至各自所属的市直单位，由各市直单位审核盖章后报评审委员会办公室。</w:t>
      </w:r>
    </w:p>
    <w:p>
      <w:pPr>
        <w:rPr>
          <w:rFonts w:hint="eastAsia"/>
        </w:rPr>
      </w:pPr>
      <w:r>
        <w:rPr>
          <w:rFonts w:hint="eastAsia"/>
          <w:b/>
          <w:bCs/>
        </w:rPr>
        <w:t>4.组织评审。</w:t>
      </w:r>
      <w:r>
        <w:rPr>
          <w:rFonts w:hint="eastAsia"/>
        </w:rPr>
        <w:t>评审委员会办公室负责对申报人相关信息进行公示，公示期不少于5个工作日，无异议后，组织专家评审。评审主要采用材料审查、赋分表打分相结合的方式。年度执行评审委员会根据专业评议组推荐意见，经评议后对申报人员进行无记名投票表决，获得出席委员三分之二以上赞成票的方为通过，未出席专家不得委托他人投票或者补充投票。评审会议结束时由主任委员或者副主任委员宣布投票结果，并对评审结果签字确认，加盖职称评审委员会印章。</w:t>
      </w:r>
    </w:p>
    <w:p>
      <w:pPr>
        <w:rPr>
          <w:rFonts w:hint="eastAsia"/>
        </w:rPr>
      </w:pPr>
      <w:r>
        <w:rPr>
          <w:rFonts w:hint="eastAsia"/>
          <w:b/>
          <w:bCs/>
        </w:rPr>
        <w:t>5.公示发文。</w:t>
      </w:r>
      <w:r>
        <w:rPr>
          <w:rFonts w:hint="eastAsia"/>
        </w:rPr>
        <w:t>评审结果在市应急管理局网站进行公示，公示时间不少于5个工作日。对公示中反映的问题，评审委员会办公室应认真调查核实，及时做出处理。评审结果由市应急管理局会同市人力资源和社会保障局联合发文公布。</w:t>
      </w:r>
    </w:p>
    <w:p>
      <w:pPr>
        <w:pStyle w:val="4"/>
        <w:bidi w:val="0"/>
        <w:rPr>
          <w:rFonts w:hint="eastAsia"/>
        </w:rPr>
      </w:pPr>
      <w:r>
        <w:rPr>
          <w:rFonts w:hint="eastAsia"/>
          <w:lang w:eastAsia="zh-CN"/>
        </w:rPr>
        <w:t>五</w:t>
      </w:r>
      <w:r>
        <w:rPr>
          <w:rFonts w:hint="eastAsia"/>
        </w:rPr>
        <w:t>、工作要求</w:t>
      </w:r>
    </w:p>
    <w:p>
      <w:pPr>
        <w:rPr>
          <w:rFonts w:hint="eastAsia"/>
        </w:rPr>
      </w:pPr>
      <w:r>
        <w:rPr>
          <w:rStyle w:val="16"/>
          <w:rFonts w:hint="eastAsia"/>
        </w:rPr>
        <w:t>（一）规范履行程序。</w:t>
      </w:r>
      <w:r>
        <w:rPr>
          <w:rFonts w:hint="eastAsia"/>
        </w:rPr>
        <w:t>评审委员会办公室要健全评审工作程序和评审规则，严肃评审纪律，明确评审委员会工作人员和评审专家责任，强化评审考核，建立倒查追责机制。有关纪检监察部门要加强对评审工作的日常监督，对违反评审工作纪律或利用职权徇私舞弊的，要严肃追责。</w:t>
      </w:r>
    </w:p>
    <w:p>
      <w:pPr>
        <w:rPr>
          <w:rFonts w:hint="eastAsia"/>
        </w:rPr>
      </w:pPr>
      <w:r>
        <w:rPr>
          <w:rStyle w:val="16"/>
          <w:rFonts w:hint="eastAsia"/>
        </w:rPr>
        <w:t>（二）加强监督指导。</w:t>
      </w:r>
      <w:r>
        <w:rPr>
          <w:rFonts w:hint="eastAsia"/>
        </w:rPr>
        <w:t>市应急管理局要切实履行行业管理职能，加强对评审工作的管理，对专家库组建、年度执行评审委员会抽取以及评审工作进行全程监管。市人力资源和社会保障局会同市应急管理局要建立健全复审机制，形成改革制度闭环，在复审中发现评审标准把握不严、程序不规范、有失公平公正、群众举报反映问题强烈的，将责令纠正，对违纪违规的要追究相关人员责任。</w:t>
      </w:r>
    </w:p>
    <w:p>
      <w:pPr>
        <w:rPr>
          <w:rFonts w:hint="eastAsia"/>
        </w:rPr>
      </w:pPr>
      <w:r>
        <w:rPr>
          <w:rStyle w:val="16"/>
          <w:rFonts w:hint="eastAsia"/>
        </w:rPr>
        <w:t>（三）确保与时俱进。</w:t>
      </w:r>
      <w:r>
        <w:rPr>
          <w:rFonts w:hint="eastAsia"/>
        </w:rPr>
        <w:t>评审委员会办公室针对评审中发现的新情况、新问题，及时总结经验，适时对应急管理领域专业技术人员工程师职务任职资格评价条件进行调整和完善，扎实推进应急管理领域专业人才队伍建设。</w:t>
      </w:r>
    </w:p>
    <w:p>
      <w:pPr>
        <w:rPr>
          <w:rFonts w:hint="eastAsia"/>
        </w:rPr>
      </w:pPr>
      <w:r>
        <w:rPr>
          <w:rFonts w:hint="eastAsia"/>
        </w:rPr>
        <w:t>本实施方案自印发之日起施行。</w:t>
      </w:r>
    </w:p>
    <w:p>
      <w:pPr>
        <w:rPr>
          <w:rFonts w:hint="eastAsia"/>
        </w:rPr>
      </w:pPr>
    </w:p>
    <w:p>
      <w:pPr>
        <w:rPr>
          <w:rFonts w:hint="eastAsia"/>
        </w:rPr>
      </w:pPr>
      <w:r>
        <w:rPr>
          <w:rFonts w:hint="eastAsia"/>
        </w:rPr>
        <w:t>附件：1.台州市安全工程专业技术人员工程师职务任职资</w:t>
      </w:r>
    </w:p>
    <w:p>
      <w:pPr>
        <w:ind w:firstLine="1920" w:firstLineChars="600"/>
        <w:rPr>
          <w:rFonts w:hint="eastAsia"/>
        </w:rPr>
      </w:pPr>
      <w:r>
        <w:rPr>
          <w:rFonts w:hint="eastAsia"/>
        </w:rPr>
        <w:t>格评价条件（试行）</w:t>
      </w:r>
    </w:p>
    <w:p>
      <w:pPr>
        <w:ind w:firstLine="1600" w:firstLineChars="500"/>
        <w:rPr>
          <w:rFonts w:hint="eastAsia"/>
        </w:rPr>
      </w:pPr>
      <w:r>
        <w:rPr>
          <w:rFonts w:hint="eastAsia"/>
        </w:rPr>
        <w:t>2.台州市防灾减灾领域工程师职务任职资格评价条</w:t>
      </w:r>
    </w:p>
    <w:p>
      <w:pPr>
        <w:ind w:firstLine="1920" w:firstLineChars="600"/>
        <w:rPr>
          <w:rFonts w:hint="eastAsia"/>
        </w:rPr>
      </w:pPr>
      <w:r>
        <w:rPr>
          <w:rFonts w:hint="eastAsia"/>
        </w:rPr>
        <w:t>件（试行）</w:t>
      </w:r>
    </w:p>
    <w:p>
      <w:pPr>
        <w:ind w:firstLine="1600" w:firstLineChars="500"/>
        <w:rPr>
          <w:rFonts w:hint="eastAsia"/>
        </w:rPr>
      </w:pPr>
      <w:r>
        <w:rPr>
          <w:rFonts w:hint="eastAsia"/>
        </w:rPr>
        <w:t>3.台州市应急救援领域工程师职务任职资格评价条</w:t>
      </w:r>
    </w:p>
    <w:p>
      <w:pPr>
        <w:ind w:firstLine="1920" w:firstLineChars="600"/>
        <w:rPr>
          <w:rFonts w:hint="eastAsia"/>
        </w:rPr>
      </w:pPr>
      <w:r>
        <w:rPr>
          <w:rFonts w:hint="eastAsia"/>
        </w:rPr>
        <w:t>件（试行）</w:t>
      </w:r>
    </w:p>
    <w:p>
      <w:pPr>
        <w:rPr>
          <w:rFonts w:hint="eastAsia"/>
        </w:rPr>
      </w:pPr>
    </w:p>
    <w:p>
      <w:pPr>
        <w:pStyle w:val="6"/>
        <w:rPr>
          <w:rFonts w:hint="eastAsia"/>
        </w:rPr>
      </w:pPr>
    </w:p>
    <w:p>
      <w:pPr>
        <w:pStyle w:val="6"/>
        <w:rPr>
          <w:rFonts w:hint="eastAsia"/>
        </w:rPr>
      </w:pPr>
    </w:p>
    <w:p>
      <w:pPr>
        <w:ind w:left="0" w:leftChars="0" w:firstLine="0" w:firstLineChars="0"/>
        <w:rPr>
          <w:rFonts w:hint="eastAsia" w:ascii="黑体" w:hAnsi="黑体" w:eastAsia="黑体" w:cs="黑体"/>
        </w:rPr>
        <w:sectPr>
          <w:pgSz w:w="11906" w:h="16838"/>
          <w:pgMar w:top="1701" w:right="1531" w:bottom="1701" w:left="1531" w:header="851" w:footer="992" w:gutter="0"/>
          <w:pgNumType w:fmt="decimal"/>
          <w:cols w:space="0" w:num="1"/>
          <w:rtlGutter w:val="0"/>
          <w:docGrid w:type="lines" w:linePitch="312" w:charSpace="0"/>
        </w:sectPr>
      </w:pPr>
    </w:p>
    <w:p>
      <w:pPr>
        <w:ind w:left="0" w:leftChars="0" w:firstLine="0" w:firstLineChars="0"/>
        <w:rPr>
          <w:rFonts w:hint="eastAsia" w:ascii="黑体" w:hAnsi="黑体" w:eastAsia="黑体" w:cs="黑体"/>
        </w:rPr>
      </w:pPr>
      <w:r>
        <w:rPr>
          <w:rFonts w:hint="eastAsia" w:ascii="黑体" w:hAnsi="黑体" w:eastAsia="黑体" w:cs="黑体"/>
        </w:rPr>
        <w:t>附件1</w:t>
      </w:r>
    </w:p>
    <w:p>
      <w:pPr>
        <w:rPr>
          <w:rFonts w:hint="eastAsia" w:ascii="黑体" w:hAnsi="黑体" w:eastAsia="黑体" w:cs="黑体"/>
        </w:rPr>
      </w:pPr>
    </w:p>
    <w:p>
      <w:pPr>
        <w:pStyle w:val="3"/>
        <w:bidi w:val="0"/>
        <w:rPr>
          <w:rFonts w:hint="eastAsia"/>
        </w:rPr>
      </w:pPr>
      <w:r>
        <w:rPr>
          <w:rFonts w:hint="eastAsia"/>
        </w:rPr>
        <w:t>台州市安全工程专业技术人员工程师职务</w:t>
      </w:r>
    </w:p>
    <w:p>
      <w:pPr>
        <w:pStyle w:val="3"/>
        <w:bidi w:val="0"/>
        <w:rPr>
          <w:rFonts w:hint="eastAsia"/>
        </w:rPr>
      </w:pPr>
      <w:r>
        <w:rPr>
          <w:rFonts w:hint="eastAsia"/>
        </w:rPr>
        <w:t>任职资格评价条件（试行）</w:t>
      </w:r>
    </w:p>
    <w:p>
      <w:pPr>
        <w:rPr>
          <w:rFonts w:hint="eastAsia"/>
        </w:rPr>
      </w:pPr>
    </w:p>
    <w:p>
      <w:pPr>
        <w:pStyle w:val="19"/>
        <w:bidi w:val="0"/>
        <w:rPr>
          <w:rFonts w:hint="eastAsia"/>
        </w:rPr>
      </w:pPr>
      <w:r>
        <w:rPr>
          <w:rFonts w:hint="eastAsia"/>
        </w:rPr>
        <w:t>第一章  总  则</w:t>
      </w:r>
    </w:p>
    <w:p>
      <w:pPr>
        <w:rPr>
          <w:rFonts w:hint="eastAsia"/>
        </w:rPr>
      </w:pPr>
      <w:r>
        <w:rPr>
          <w:rFonts w:hint="eastAsia"/>
          <w:b/>
          <w:bCs/>
        </w:rPr>
        <w:t xml:space="preserve">第一条 </w:t>
      </w:r>
      <w:r>
        <w:rPr>
          <w:rFonts w:hint="eastAsia"/>
        </w:rPr>
        <w:t>为客观公正评价安全工程专业技术人员的能力和水平，完善安全工程专业人才选拔机制，提高安全工程专业技术人才队伍整体素质，根据中央和省市有关深化职称制度改革意见，结合实际，制定本评价条件。</w:t>
      </w:r>
    </w:p>
    <w:p>
      <w:pPr>
        <w:rPr>
          <w:rFonts w:hint="eastAsia"/>
        </w:rPr>
      </w:pPr>
      <w:r>
        <w:rPr>
          <w:rFonts w:hint="eastAsia"/>
          <w:b/>
          <w:bCs/>
        </w:rPr>
        <w:t>第二条</w:t>
      </w:r>
      <w:r>
        <w:rPr>
          <w:rFonts w:hint="eastAsia"/>
        </w:rPr>
        <w:t xml:space="preserve"> 本评价条件适用于台州市安全工程方向从事安全科学应用、安全技术服务和安全生产管理等工作的专业技术人员申报工程师职务任职资格的评价，其中事业单位人员应按照评聘结合原则执行。</w:t>
      </w:r>
    </w:p>
    <w:p>
      <w:pPr>
        <w:rPr>
          <w:rFonts w:hint="eastAsia"/>
        </w:rPr>
      </w:pPr>
      <w:r>
        <w:rPr>
          <w:rFonts w:hint="eastAsia"/>
          <w:b/>
          <w:bCs/>
        </w:rPr>
        <w:t>（一）安全科学应用相关工作：</w:t>
      </w:r>
      <w:r>
        <w:rPr>
          <w:rFonts w:hint="eastAsia"/>
        </w:rPr>
        <w:t>指从事安全科学理论应用；安全技术标准修订；安全工程领域的新产品、新技术、新设施、新设备（仪器）、新工法研发；安全工程技术研究与推广等工作。</w:t>
      </w:r>
    </w:p>
    <w:p>
      <w:pPr>
        <w:rPr>
          <w:rFonts w:hint="eastAsia"/>
        </w:rPr>
      </w:pPr>
      <w:r>
        <w:rPr>
          <w:rFonts w:hint="eastAsia"/>
          <w:b/>
          <w:bCs/>
        </w:rPr>
        <w:t>（二）安全技术服务相关工作：</w:t>
      </w:r>
      <w:r>
        <w:rPr>
          <w:rFonts w:hint="eastAsia"/>
        </w:rPr>
        <w:t>指从事安全评价与评估认证；安全生产检测检验；安全生产技术咨询服务等工作。</w:t>
      </w:r>
    </w:p>
    <w:p>
      <w:pPr>
        <w:rPr>
          <w:rFonts w:hint="eastAsia"/>
        </w:rPr>
      </w:pPr>
      <w:r>
        <w:rPr>
          <w:rFonts w:hint="eastAsia"/>
          <w:b/>
          <w:bCs/>
        </w:rPr>
        <w:t>（三）安全生产管理相关工作：</w:t>
      </w:r>
      <w:r>
        <w:rPr>
          <w:rFonts w:hint="eastAsia"/>
        </w:rPr>
        <w:t>指从事安全监督、检查管理；事故预测预防与调查分析；企业安全生产管理等工作。</w:t>
      </w:r>
    </w:p>
    <w:p>
      <w:pPr>
        <w:rPr>
          <w:rFonts w:hint="eastAsia"/>
        </w:rPr>
      </w:pPr>
      <w:r>
        <w:rPr>
          <w:rFonts w:hint="eastAsia"/>
          <w:b/>
          <w:bCs/>
        </w:rPr>
        <w:t xml:space="preserve">第三条 </w:t>
      </w:r>
      <w:r>
        <w:rPr>
          <w:rFonts w:hint="eastAsia"/>
        </w:rPr>
        <w:t>按照本评价条件通过评审，获得安全工程专业工程师职务任职资格的人员，表明其具有相应的专业技术和学术水平，是聘任安全工程专业工程师职务的重要依据。</w:t>
      </w:r>
    </w:p>
    <w:p>
      <w:pPr>
        <w:pStyle w:val="19"/>
        <w:bidi w:val="0"/>
        <w:rPr>
          <w:rFonts w:hint="eastAsia"/>
        </w:rPr>
      </w:pPr>
      <w:r>
        <w:rPr>
          <w:rFonts w:hint="eastAsia"/>
        </w:rPr>
        <w:t>第二章  申报基本条件</w:t>
      </w:r>
    </w:p>
    <w:p>
      <w:pPr>
        <w:rPr>
          <w:rFonts w:hint="eastAsia"/>
        </w:rPr>
      </w:pPr>
      <w:r>
        <w:rPr>
          <w:rFonts w:hint="eastAsia"/>
          <w:b/>
          <w:bCs/>
        </w:rPr>
        <w:t xml:space="preserve">第四条 </w:t>
      </w:r>
      <w:r>
        <w:rPr>
          <w:rFonts w:hint="eastAsia"/>
        </w:rPr>
        <w:t>申报安全工程专业工程师职务任职资格的专业技术人员，应拥护中国共产党的领导，遵守《中华人民共和国宪法》和有关法律法规，热爱应急管理事业，认真履行岗位职责，具有良好的职业道德、学术修养和敬业精神，积极为应急管理事业发展服务。</w:t>
      </w:r>
    </w:p>
    <w:p>
      <w:pPr>
        <w:rPr>
          <w:rFonts w:hint="eastAsia"/>
        </w:rPr>
      </w:pPr>
      <w:r>
        <w:rPr>
          <w:rFonts w:hint="eastAsia"/>
          <w:b/>
          <w:bCs/>
        </w:rPr>
        <w:t>第五条</w:t>
      </w:r>
      <w:r>
        <w:rPr>
          <w:rFonts w:hint="eastAsia"/>
        </w:rPr>
        <w:t xml:space="preserve"> 申报安全工程专业工程师职务任职资格的人员应具备下列条件之一：</w:t>
      </w:r>
    </w:p>
    <w:p>
      <w:pPr>
        <w:rPr>
          <w:rFonts w:hint="eastAsia"/>
        </w:rPr>
      </w:pPr>
      <w:r>
        <w:rPr>
          <w:rFonts w:hint="eastAsia"/>
        </w:rPr>
        <w:t>（一）具有相应理、工学科大学专科、本科学历，取得助理工程师职务任职资格后，或取得初级注册安全工程师职业资格并注册后，实际担任助理工程师职务4年以上；</w:t>
      </w:r>
    </w:p>
    <w:p>
      <w:pPr>
        <w:rPr>
          <w:rFonts w:hint="eastAsia"/>
        </w:rPr>
      </w:pPr>
      <w:r>
        <w:rPr>
          <w:rFonts w:hint="eastAsia"/>
        </w:rPr>
        <w:t>（二）具有相应理、工学科研究生学历或硕士学位，取得助理工程师职务任职资格后，或取得初级注册安全工程师职业资格并注册后，实际担任助理工程师职务2年以上；</w:t>
      </w:r>
    </w:p>
    <w:p>
      <w:pPr>
        <w:rPr>
          <w:rFonts w:hint="eastAsia"/>
        </w:rPr>
      </w:pPr>
      <w:r>
        <w:rPr>
          <w:rFonts w:hint="eastAsia"/>
        </w:rPr>
        <w:t>（三）获得本专业或相近专业技师职业资格或相应职业技能等级后从事技术技能工作满3年；</w:t>
      </w:r>
    </w:p>
    <w:p>
      <w:pPr>
        <w:rPr>
          <w:rFonts w:hint="eastAsia"/>
        </w:rPr>
      </w:pPr>
      <w:r>
        <w:rPr>
          <w:rFonts w:hint="eastAsia"/>
        </w:rPr>
        <w:t>（四）具有其他中级职务任职资格的人员，因岗位变动，实际从事安全工程专业相关工作1年以上，符合申报条件，可申请转评。</w:t>
      </w:r>
    </w:p>
    <w:p>
      <w:pPr>
        <w:rPr>
          <w:rFonts w:hint="eastAsia"/>
        </w:rPr>
      </w:pPr>
      <w:r>
        <w:rPr>
          <w:rFonts w:hint="eastAsia"/>
          <w:b/>
          <w:bCs/>
        </w:rPr>
        <w:t>第六条</w:t>
      </w:r>
      <w:r>
        <w:rPr>
          <w:rFonts w:hint="eastAsia"/>
        </w:rPr>
        <w:t xml:space="preserve"> 按照《台州市安全工程专业技术人员工程师职务任职资格量化赋分标准》（附表）达到规定分值，可申报工程师职务任职资格。规定分值由台州市安全工程专业技术人员工程师职务任职资格评审委员会根据行业发展情况适时调整。</w:t>
      </w:r>
    </w:p>
    <w:p>
      <w:pPr>
        <w:rPr>
          <w:rFonts w:hint="eastAsia"/>
        </w:rPr>
      </w:pPr>
      <w:r>
        <w:rPr>
          <w:rFonts w:hint="eastAsia"/>
          <w:b/>
          <w:bCs/>
        </w:rPr>
        <w:t xml:space="preserve">第七条 </w:t>
      </w:r>
      <w:r>
        <w:rPr>
          <w:rFonts w:hint="eastAsia"/>
        </w:rPr>
        <w:t>申报工程师职务任职资格近4年年度考核为合格（或称职）以上等次。</w:t>
      </w:r>
    </w:p>
    <w:p>
      <w:pPr>
        <w:rPr>
          <w:rFonts w:hint="eastAsia"/>
        </w:rPr>
      </w:pPr>
      <w:r>
        <w:rPr>
          <w:rFonts w:hint="eastAsia"/>
          <w:b/>
          <w:bCs/>
        </w:rPr>
        <w:t xml:space="preserve">第八条 </w:t>
      </w:r>
      <w:r>
        <w:rPr>
          <w:rFonts w:hint="eastAsia"/>
        </w:rPr>
        <w:t>申报人员应按要求参加继续教育，并达到专业技术人员继续教育相应学时规定。</w:t>
      </w:r>
    </w:p>
    <w:p>
      <w:pPr>
        <w:rPr>
          <w:rFonts w:hint="eastAsia"/>
        </w:rPr>
      </w:pPr>
      <w:r>
        <w:rPr>
          <w:rFonts w:hint="eastAsia"/>
          <w:b/>
          <w:bCs/>
        </w:rPr>
        <w:t xml:space="preserve">第九条 </w:t>
      </w:r>
      <w:r>
        <w:rPr>
          <w:rFonts w:hint="eastAsia"/>
        </w:rPr>
        <w:t>事业单位申报人员应符合事业单位专业技术职务评聘结合的要求。</w:t>
      </w:r>
    </w:p>
    <w:p>
      <w:pPr>
        <w:pStyle w:val="19"/>
        <w:bidi w:val="0"/>
        <w:rPr>
          <w:rFonts w:hint="eastAsia"/>
        </w:rPr>
      </w:pPr>
      <w:r>
        <w:rPr>
          <w:rFonts w:hint="eastAsia"/>
        </w:rPr>
        <w:t>第三章  评审条件</w:t>
      </w:r>
    </w:p>
    <w:p>
      <w:pPr>
        <w:rPr>
          <w:rFonts w:hint="eastAsia"/>
        </w:rPr>
      </w:pPr>
      <w:r>
        <w:rPr>
          <w:rFonts w:hint="eastAsia"/>
          <w:b/>
          <w:bCs/>
        </w:rPr>
        <w:t xml:space="preserve">第十条 </w:t>
      </w:r>
      <w:r>
        <w:rPr>
          <w:rFonts w:hint="eastAsia"/>
        </w:rPr>
        <w:t>申报安全工程专业工程师职务任职资格人员应达到的评审条件：</w:t>
      </w:r>
    </w:p>
    <w:p>
      <w:pPr>
        <w:rPr>
          <w:rFonts w:hint="eastAsia"/>
          <w:b/>
          <w:bCs/>
        </w:rPr>
      </w:pPr>
      <w:r>
        <w:rPr>
          <w:rFonts w:hint="eastAsia"/>
          <w:b/>
          <w:bCs/>
        </w:rPr>
        <w:t>（一）专业理论知识</w:t>
      </w:r>
    </w:p>
    <w:p>
      <w:pPr>
        <w:rPr>
          <w:rFonts w:hint="eastAsia"/>
        </w:rPr>
      </w:pPr>
      <w:r>
        <w:rPr>
          <w:rFonts w:hint="eastAsia"/>
        </w:rPr>
        <w:t>系统掌握并能够灵活运用安全工程专业基础理论知识和专业技术知识，熟悉安全工程专业技术标准、规范和规程，了解安全工程专业国内外技术现状和发展趋势，取得有实用价值的技术成果。</w:t>
      </w:r>
    </w:p>
    <w:p>
      <w:pPr>
        <w:rPr>
          <w:rFonts w:hint="eastAsia"/>
          <w:b/>
          <w:bCs/>
        </w:rPr>
      </w:pPr>
      <w:r>
        <w:rPr>
          <w:rFonts w:hint="eastAsia"/>
          <w:b/>
          <w:bCs/>
        </w:rPr>
        <w:t>（二）专业技术工作经历与能力</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具有运用安全工程专业的理论和现有科研成果，进行安全生产评价与评估、安全生产检测检验、安全管理咨询或工程设计，安全技术服务与安全信息化建设，生产安全事故调查，或者企业（工程技术项目）现场安全管理的经历和能力。</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b/>
          <w:bCs/>
        </w:rPr>
      </w:pPr>
      <w:r>
        <w:rPr>
          <w:rFonts w:hint="eastAsia"/>
          <w:b/>
          <w:bCs/>
        </w:rPr>
        <w:t>（三）专业技术工作业绩</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任现职期间，应至少具备下列条件之一：</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1.参与完成并正式颁布实施的设区市（厅、局）级以上标准/规程/规范1项以上；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2.参与完成并通过评审、验收的县（市、区）级以上科研项目2项以上；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3.获得县（区）级以上安全工程专业科技成果奖人员；</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4.主持或参与安全评价与评估，完成并通过评审的评价（评估）报告40份以上；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5.主持或参与安全生产检测检验，制定安全生产检测检验方案，完成安全生产检测检验工作，编写相应的技术报告30份/年以上；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6.作为安全技术服务项目负责人，独立开展安全技术服务工作（包括指导企业持续运行安全生产标准化、开展安全生产社会化服务等），并完成相应技术报告40份以上；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7.开展企业（工程技术项目）安全生产技术管理工作，为主并持续运行企业安全生产标准化，或完成的安全技术改造工作经专家论证具有显著安全成效；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8.获得专利或软件著作权1项以上；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9.参与编著并正式出版著作1部以上，或在公开发行的学术期刊上发表安全工程专业学术论文1篇以上；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10.实际具有从事一般工贸企业、危险化学品企业、矿山企业、烟花爆竹企业安全生产管理工作经验的。</w:t>
      </w:r>
    </w:p>
    <w:p>
      <w:pPr>
        <w:pStyle w:val="19"/>
        <w:bidi w:val="0"/>
        <w:rPr>
          <w:rFonts w:hint="eastAsia"/>
        </w:rPr>
      </w:pPr>
      <w:r>
        <w:rPr>
          <w:rFonts w:hint="eastAsia"/>
        </w:rPr>
        <w:t>第四章  附 则</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第十一条</w:t>
      </w:r>
      <w:r>
        <w:rPr>
          <w:rFonts w:hint="eastAsia"/>
        </w:rPr>
        <w:t xml:space="preserve"> 本评价条件中涉及的工作能力、工作业绩、科研成果、发明专利、继续教育证明、论文论著等均与安全工程专业相关且为任现职或近4年以来取得，并需提供相应的佐证材料。</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第十二条 </w:t>
      </w:r>
      <w:r>
        <w:rPr>
          <w:rFonts w:hint="eastAsia"/>
        </w:rPr>
        <w:t>申报人员有下列情形之一者，取消评审资格（已通过评审的人员，取消其资格，由发证机关收回其资格证书），并从次年起3年内不得申报相应资格评审：</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（一）伪造、变造证件、证明的。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（二）提交虚假申报材料的、剽窃他人作品和学术成果或通过其他不正当手段取得职称的。</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（三）有违纪违法行为，仍在处理、处罚、处分阶段或任现职期间有严重违反违纪行为受到党纪政务处分，未在申报材料中。</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（四）有其他严重违反评审规定的行为。</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第十三条 </w:t>
      </w:r>
      <w:r>
        <w:rPr>
          <w:rFonts w:hint="eastAsia"/>
        </w:rPr>
        <w:t>本评价条件中的“以上”均含本级或本数，“年”均为周年。</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附表：台州市安全工程专业技术人员工程师职务任职资格量</w:t>
      </w:r>
    </w:p>
    <w:p>
      <w:pPr>
        <w:keepNext w:val="0"/>
        <w:keepLines w:val="0"/>
        <w:pageBreakBefore w:val="0"/>
        <w:widowControl w:val="0"/>
        <w:kinsoku/>
        <w:wordWrap/>
        <w:overflowPunct/>
        <w:topLinePunct/>
        <w:autoSpaceDE/>
        <w:autoSpaceDN/>
        <w:bidi w:val="0"/>
        <w:adjustRightInd w:val="0"/>
        <w:snapToGrid w:val="0"/>
        <w:spacing w:line="580" w:lineRule="exact"/>
        <w:ind w:firstLine="1600" w:firstLineChars="500"/>
        <w:textAlignment w:val="auto"/>
        <w:rPr>
          <w:rFonts w:hint="eastAsia"/>
        </w:rPr>
      </w:pPr>
      <w:r>
        <w:rPr>
          <w:rFonts w:hint="eastAsia"/>
        </w:rPr>
        <w:t>化赋分标准</w:t>
      </w:r>
    </w:p>
    <w:p>
      <w:pPr>
        <w:rPr>
          <w:rFonts w:hint="eastAsia"/>
        </w:rPr>
        <w:sectPr>
          <w:pgSz w:w="11906" w:h="16838"/>
          <w:pgMar w:top="1701" w:right="1531" w:bottom="1701" w:left="1531" w:header="851" w:footer="992" w:gutter="0"/>
          <w:pgNumType w:fmt="decimal"/>
          <w:cols w:space="0" w:num="1"/>
          <w:rtlGutter w:val="0"/>
          <w:docGrid w:type="lines" w:linePitch="312" w:charSpace="0"/>
        </w:sectPr>
      </w:pPr>
    </w:p>
    <w:p>
      <w:pPr>
        <w:ind w:left="0" w:leftChars="0" w:firstLine="0" w:firstLineChars="0"/>
        <w:rPr>
          <w:rFonts w:hint="eastAsia" w:ascii="黑体" w:hAnsi="黑体" w:eastAsia="黑体" w:cs="黑体"/>
        </w:rPr>
      </w:pPr>
      <w:r>
        <w:rPr>
          <w:rFonts w:hint="eastAsia" w:ascii="黑体" w:hAnsi="黑体" w:eastAsia="黑体" w:cs="黑体"/>
        </w:rPr>
        <w:t>附表</w:t>
      </w:r>
    </w:p>
    <w:p>
      <w:pPr>
        <w:rPr>
          <w:rFonts w:hint="eastAsia" w:ascii="黑体" w:hAnsi="黑体" w:eastAsia="黑体" w:cs="黑体"/>
        </w:rPr>
      </w:pPr>
    </w:p>
    <w:p>
      <w:pPr>
        <w:pStyle w:val="3"/>
        <w:bidi w:val="0"/>
        <w:rPr>
          <w:rFonts w:hint="eastAsia"/>
        </w:rPr>
      </w:pPr>
      <w:r>
        <w:rPr>
          <w:rFonts w:hint="eastAsia"/>
        </w:rPr>
        <w:t>台州市安全工程专业技术人员工程师职务</w:t>
      </w:r>
    </w:p>
    <w:p>
      <w:pPr>
        <w:pStyle w:val="3"/>
        <w:bidi w:val="0"/>
        <w:rPr>
          <w:rFonts w:hint="eastAsia"/>
        </w:rPr>
      </w:pPr>
      <w:r>
        <w:rPr>
          <w:rFonts w:hint="eastAsia"/>
        </w:rPr>
        <w:t>任职资格量化赋分标准</w:t>
      </w:r>
    </w:p>
    <w:tbl>
      <w:tblPr>
        <w:tblStyle w:val="11"/>
        <w:tblW w:w="13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395"/>
        <w:gridCol w:w="1781"/>
        <w:gridCol w:w="1828"/>
        <w:gridCol w:w="1760"/>
        <w:gridCol w:w="850"/>
        <w:gridCol w:w="141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891" w:type="dxa"/>
            <w:tcBorders>
              <w:top w:val="single" w:color="auto" w:sz="4" w:space="0"/>
            </w:tcBorders>
            <w:noWrap w:val="0"/>
            <w:vAlign w:val="center"/>
          </w:tcPr>
          <w:p>
            <w:pPr>
              <w:pStyle w:val="17"/>
              <w:bidi w:val="0"/>
              <w:jc w:val="center"/>
              <w:rPr>
                <w:b/>
                <w:bCs/>
              </w:rPr>
            </w:pPr>
            <w:r>
              <w:rPr>
                <w:b/>
                <w:bCs/>
              </w:rPr>
              <w:t>评价</w:t>
            </w:r>
          </w:p>
          <w:p>
            <w:pPr>
              <w:pStyle w:val="17"/>
              <w:bidi w:val="0"/>
              <w:jc w:val="center"/>
              <w:rPr>
                <w:b/>
                <w:bCs/>
              </w:rPr>
            </w:pPr>
            <w:r>
              <w:rPr>
                <w:b/>
                <w:bCs/>
              </w:rPr>
              <w:t>指标</w:t>
            </w:r>
          </w:p>
        </w:tc>
        <w:tc>
          <w:tcPr>
            <w:tcW w:w="1395" w:type="dxa"/>
            <w:tcBorders>
              <w:top w:val="single" w:color="auto" w:sz="4" w:space="0"/>
            </w:tcBorders>
            <w:noWrap w:val="0"/>
            <w:vAlign w:val="center"/>
          </w:tcPr>
          <w:p>
            <w:pPr>
              <w:pStyle w:val="17"/>
              <w:bidi w:val="0"/>
              <w:jc w:val="center"/>
              <w:rPr>
                <w:b/>
                <w:bCs/>
              </w:rPr>
            </w:pPr>
            <w:r>
              <w:rPr>
                <w:b/>
                <w:bCs/>
              </w:rPr>
              <w:t>一级指标</w:t>
            </w:r>
          </w:p>
        </w:tc>
        <w:tc>
          <w:tcPr>
            <w:tcW w:w="1781" w:type="dxa"/>
            <w:tcBorders>
              <w:top w:val="single" w:color="auto" w:sz="4" w:space="0"/>
            </w:tcBorders>
            <w:noWrap w:val="0"/>
            <w:vAlign w:val="center"/>
          </w:tcPr>
          <w:p>
            <w:pPr>
              <w:pStyle w:val="17"/>
              <w:bidi w:val="0"/>
              <w:jc w:val="center"/>
              <w:rPr>
                <w:b/>
                <w:bCs/>
              </w:rPr>
            </w:pPr>
            <w:r>
              <w:rPr>
                <w:b/>
                <w:bCs/>
              </w:rPr>
              <w:t>二级指标</w:t>
            </w:r>
          </w:p>
        </w:tc>
        <w:tc>
          <w:tcPr>
            <w:tcW w:w="1828" w:type="dxa"/>
            <w:tcBorders>
              <w:top w:val="single" w:color="auto" w:sz="4" w:space="0"/>
            </w:tcBorders>
            <w:noWrap w:val="0"/>
            <w:vAlign w:val="center"/>
          </w:tcPr>
          <w:p>
            <w:pPr>
              <w:pStyle w:val="17"/>
              <w:bidi w:val="0"/>
              <w:jc w:val="center"/>
              <w:rPr>
                <w:b/>
                <w:bCs/>
              </w:rPr>
            </w:pPr>
            <w:r>
              <w:rPr>
                <w:b/>
                <w:bCs/>
              </w:rPr>
              <w:t>三级指标</w:t>
            </w:r>
          </w:p>
        </w:tc>
        <w:tc>
          <w:tcPr>
            <w:tcW w:w="1760" w:type="dxa"/>
            <w:tcBorders>
              <w:top w:val="single" w:color="auto" w:sz="4" w:space="0"/>
            </w:tcBorders>
            <w:noWrap/>
            <w:vAlign w:val="center"/>
          </w:tcPr>
          <w:p>
            <w:pPr>
              <w:pStyle w:val="17"/>
              <w:bidi w:val="0"/>
              <w:jc w:val="center"/>
              <w:rPr>
                <w:b/>
                <w:bCs/>
              </w:rPr>
            </w:pPr>
            <w:r>
              <w:rPr>
                <w:b/>
                <w:bCs/>
              </w:rPr>
              <w:t>四级指标</w:t>
            </w:r>
          </w:p>
        </w:tc>
        <w:tc>
          <w:tcPr>
            <w:tcW w:w="850" w:type="dxa"/>
            <w:tcBorders>
              <w:top w:val="single" w:color="auto" w:sz="4" w:space="0"/>
            </w:tcBorders>
            <w:noWrap w:val="0"/>
            <w:vAlign w:val="center"/>
          </w:tcPr>
          <w:p>
            <w:pPr>
              <w:pStyle w:val="17"/>
              <w:bidi w:val="0"/>
              <w:jc w:val="center"/>
              <w:rPr>
                <w:b/>
                <w:bCs/>
              </w:rPr>
            </w:pPr>
            <w:r>
              <w:rPr>
                <w:b/>
                <w:bCs/>
              </w:rPr>
              <w:t>最高分值</w:t>
            </w:r>
          </w:p>
        </w:tc>
        <w:tc>
          <w:tcPr>
            <w:tcW w:w="1418" w:type="dxa"/>
            <w:tcBorders>
              <w:top w:val="single" w:color="auto" w:sz="4" w:space="0"/>
            </w:tcBorders>
            <w:noWrap w:val="0"/>
            <w:vAlign w:val="center"/>
          </w:tcPr>
          <w:p>
            <w:pPr>
              <w:pStyle w:val="17"/>
              <w:bidi w:val="0"/>
              <w:jc w:val="center"/>
              <w:rPr>
                <w:b/>
                <w:bCs/>
              </w:rPr>
            </w:pPr>
            <w:r>
              <w:rPr>
                <w:b/>
                <w:bCs/>
              </w:rPr>
              <w:t>赋分说明</w:t>
            </w:r>
          </w:p>
        </w:tc>
        <w:tc>
          <w:tcPr>
            <w:tcW w:w="3685" w:type="dxa"/>
            <w:tcBorders>
              <w:top w:val="single" w:color="auto" w:sz="4" w:space="0"/>
            </w:tcBorders>
            <w:noWrap w:val="0"/>
            <w:vAlign w:val="center"/>
          </w:tcPr>
          <w:p>
            <w:pPr>
              <w:pStyle w:val="17"/>
              <w:bidi w:val="0"/>
              <w:jc w:val="center"/>
              <w:rPr>
                <w:b/>
                <w:bCs/>
              </w:rP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restart"/>
            <w:noWrap w:val="0"/>
            <w:vAlign w:val="center"/>
          </w:tcPr>
          <w:p>
            <w:pPr>
              <w:pStyle w:val="17"/>
              <w:bidi w:val="0"/>
              <w:jc w:val="center"/>
              <w:rPr>
                <w:rFonts w:hint="eastAsia"/>
              </w:rPr>
            </w:pPr>
            <w:r>
              <w:rPr>
                <w:rFonts w:hint="eastAsia"/>
              </w:rPr>
              <w:t>职业道德（1</w:t>
            </w:r>
            <w:r>
              <w:rPr>
                <w:rFonts w:hint="eastAsia"/>
                <w:lang w:val="en-US" w:eastAsia="zh-CN"/>
              </w:rPr>
              <w:t>0</w:t>
            </w:r>
            <w:r>
              <w:rPr>
                <w:rFonts w:hint="eastAsia"/>
              </w:rPr>
              <w:t>分）</w:t>
            </w:r>
          </w:p>
        </w:tc>
        <w:tc>
          <w:tcPr>
            <w:tcW w:w="1395" w:type="dxa"/>
            <w:vMerge w:val="restart"/>
            <w:noWrap w:val="0"/>
            <w:vAlign w:val="center"/>
          </w:tcPr>
          <w:p>
            <w:pPr>
              <w:pStyle w:val="17"/>
              <w:bidi w:val="0"/>
              <w:jc w:val="center"/>
              <w:rPr>
                <w:rFonts w:hint="eastAsia"/>
              </w:rPr>
            </w:pPr>
            <w:r>
              <w:rPr>
                <w:rFonts w:hint="eastAsia"/>
              </w:rPr>
              <w:t>爱岗敬业（7分）</w:t>
            </w:r>
          </w:p>
        </w:tc>
        <w:tc>
          <w:tcPr>
            <w:tcW w:w="1781" w:type="dxa"/>
            <w:vMerge w:val="restart"/>
            <w:noWrap w:val="0"/>
            <w:vAlign w:val="center"/>
          </w:tcPr>
          <w:p>
            <w:pPr>
              <w:pStyle w:val="17"/>
              <w:bidi w:val="0"/>
              <w:jc w:val="center"/>
              <w:rPr>
                <w:rFonts w:hint="eastAsia"/>
              </w:rPr>
            </w:pPr>
            <w:r>
              <w:rPr>
                <w:rFonts w:hint="eastAsia"/>
              </w:rPr>
              <w:t>劳模、五一劳动奖章、先进工作者、优秀共产党员、行业部门表彰等荣誉称号。获得安全生产工作先进和荣誉。</w:t>
            </w:r>
          </w:p>
        </w:tc>
        <w:tc>
          <w:tcPr>
            <w:tcW w:w="1828" w:type="dxa"/>
            <w:noWrap/>
            <w:vAlign w:val="center"/>
          </w:tcPr>
          <w:p>
            <w:pPr>
              <w:pStyle w:val="17"/>
              <w:bidi w:val="0"/>
              <w:jc w:val="center"/>
              <w:rPr>
                <w:rFonts w:hint="eastAsia"/>
              </w:rPr>
            </w:pPr>
            <w:r>
              <w:rPr>
                <w:rFonts w:hint="eastAsia"/>
              </w:rPr>
              <w:t>省（部）级</w:t>
            </w:r>
          </w:p>
        </w:tc>
        <w:tc>
          <w:tcPr>
            <w:tcW w:w="1760" w:type="dxa"/>
            <w:vMerge w:val="restart"/>
            <w:noWrap/>
            <w:vAlign w:val="center"/>
          </w:tcPr>
          <w:p>
            <w:pPr>
              <w:pStyle w:val="17"/>
              <w:bidi w:val="0"/>
              <w:jc w:val="center"/>
              <w:rPr>
                <w:rFonts w:hint="eastAsia"/>
              </w:rPr>
            </w:pPr>
          </w:p>
        </w:tc>
        <w:tc>
          <w:tcPr>
            <w:tcW w:w="850" w:type="dxa"/>
            <w:vMerge w:val="restart"/>
            <w:noWrap w:val="0"/>
            <w:vAlign w:val="center"/>
          </w:tcPr>
          <w:p>
            <w:pPr>
              <w:pStyle w:val="17"/>
              <w:bidi w:val="0"/>
              <w:jc w:val="center"/>
              <w:rPr>
                <w:rFonts w:hint="eastAsia"/>
              </w:rPr>
            </w:pPr>
            <w:r>
              <w:rPr>
                <w:rFonts w:hint="eastAsia"/>
              </w:rPr>
              <w:t>5</w:t>
            </w:r>
          </w:p>
        </w:tc>
        <w:tc>
          <w:tcPr>
            <w:tcW w:w="1418" w:type="dxa"/>
            <w:noWrap w:val="0"/>
            <w:vAlign w:val="center"/>
          </w:tcPr>
          <w:p>
            <w:pPr>
              <w:pStyle w:val="17"/>
              <w:bidi w:val="0"/>
              <w:jc w:val="center"/>
              <w:rPr>
                <w:rFonts w:hint="eastAsia"/>
              </w:rPr>
            </w:pPr>
            <w:r>
              <w:rPr>
                <w:rFonts w:hint="eastAsia"/>
              </w:rPr>
              <w:t>5n</w:t>
            </w:r>
          </w:p>
        </w:tc>
        <w:tc>
          <w:tcPr>
            <w:tcW w:w="3685" w:type="dxa"/>
            <w:vMerge w:val="restart"/>
            <w:noWrap w:val="0"/>
            <w:vAlign w:val="center"/>
          </w:tcPr>
          <w:p>
            <w:pPr>
              <w:pStyle w:val="17"/>
              <w:bidi w:val="0"/>
              <w:jc w:val="center"/>
              <w:rPr>
                <w:rFonts w:hint="eastAsia"/>
              </w:rPr>
            </w:pPr>
            <w:r>
              <w:rPr>
                <w:rFonts w:hint="eastAsia"/>
              </w:rPr>
              <w:t>n为专家认定的奖项个数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市（厅）级</w:t>
            </w:r>
          </w:p>
        </w:tc>
        <w:tc>
          <w:tcPr>
            <w:tcW w:w="1760" w:type="dxa"/>
            <w:vMerge w:val="continue"/>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0"/>
            <w:vAlign w:val="center"/>
          </w:tcPr>
          <w:p>
            <w:pPr>
              <w:pStyle w:val="17"/>
              <w:bidi w:val="0"/>
              <w:jc w:val="center"/>
              <w:rPr>
                <w:rFonts w:hint="eastAsia"/>
              </w:rPr>
            </w:pPr>
            <w:r>
              <w:rPr>
                <w:rFonts w:hint="eastAsia"/>
              </w:rPr>
              <w:t>3n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县（局）级</w:t>
            </w:r>
          </w:p>
        </w:tc>
        <w:tc>
          <w:tcPr>
            <w:tcW w:w="1760" w:type="dxa"/>
            <w:vMerge w:val="continue"/>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0"/>
            <w:vAlign w:val="center"/>
          </w:tcPr>
          <w:p>
            <w:pPr>
              <w:pStyle w:val="17"/>
              <w:bidi w:val="0"/>
              <w:jc w:val="center"/>
              <w:rPr>
                <w:rFonts w:hint="eastAsia"/>
              </w:rPr>
            </w:pPr>
            <w:r>
              <w:rPr>
                <w:rFonts w:hint="eastAsia"/>
              </w:rPr>
              <w:t>2n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noWrap w:val="0"/>
            <w:vAlign w:val="center"/>
          </w:tcPr>
          <w:p>
            <w:pPr>
              <w:pStyle w:val="17"/>
              <w:bidi w:val="0"/>
              <w:jc w:val="center"/>
              <w:rPr>
                <w:rFonts w:hint="eastAsia"/>
              </w:rPr>
            </w:pPr>
            <w:r>
              <w:rPr>
                <w:rFonts w:hint="eastAsia"/>
              </w:rPr>
              <w:t>近5年来，未出现如下情形：1.发生因违反相关法律法规、管理制度及标准规程规范而导致的事故并负直接责任；2.因违反安全管理规定而触犯刑法并负直接责任。</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0"/>
            <w:vAlign w:val="center"/>
          </w:tcPr>
          <w:p>
            <w:pPr>
              <w:pStyle w:val="17"/>
              <w:bidi w:val="0"/>
              <w:jc w:val="center"/>
              <w:rPr>
                <w:rFonts w:hint="eastAsia"/>
                <w:lang w:val="en-US" w:eastAsia="zh-CN"/>
              </w:rPr>
            </w:pPr>
            <w:r>
              <w:rPr>
                <w:rFonts w:hint="eastAsia"/>
                <w:lang w:val="en-US" w:eastAsia="zh-CN"/>
              </w:rPr>
              <w:t>2</w:t>
            </w:r>
          </w:p>
        </w:tc>
        <w:tc>
          <w:tcPr>
            <w:tcW w:w="1418" w:type="dxa"/>
            <w:noWrap w:val="0"/>
            <w:vAlign w:val="center"/>
          </w:tcPr>
          <w:p>
            <w:pPr>
              <w:pStyle w:val="17"/>
              <w:bidi w:val="0"/>
              <w:jc w:val="center"/>
              <w:rPr>
                <w:rFonts w:hint="eastAsia"/>
                <w:lang w:val="en-US" w:eastAsia="zh-CN"/>
              </w:rPr>
            </w:pPr>
            <w:r>
              <w:rPr>
                <w:rFonts w:hint="eastAsia"/>
                <w:lang w:val="en-US" w:eastAsia="zh-CN"/>
              </w:rPr>
              <w:t>2</w:t>
            </w:r>
          </w:p>
        </w:tc>
        <w:tc>
          <w:tcPr>
            <w:tcW w:w="3685" w:type="dxa"/>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noWrap w:val="0"/>
            <w:vAlign w:val="center"/>
          </w:tcPr>
          <w:p>
            <w:pPr>
              <w:pStyle w:val="17"/>
              <w:bidi w:val="0"/>
              <w:jc w:val="center"/>
              <w:rPr>
                <w:rFonts w:hint="eastAsia"/>
              </w:rPr>
            </w:pPr>
            <w:r>
              <w:rPr>
                <w:rFonts w:hint="eastAsia"/>
              </w:rPr>
              <w:t>年度考核（3分）</w:t>
            </w:r>
          </w:p>
        </w:tc>
        <w:tc>
          <w:tcPr>
            <w:tcW w:w="1781" w:type="dxa"/>
            <w:noWrap w:val="0"/>
            <w:vAlign w:val="center"/>
          </w:tcPr>
          <w:p>
            <w:pPr>
              <w:pStyle w:val="17"/>
              <w:bidi w:val="0"/>
              <w:jc w:val="center"/>
              <w:rPr>
                <w:rFonts w:hint="eastAsia"/>
              </w:rPr>
            </w:pPr>
            <w:r>
              <w:rPr>
                <w:rFonts w:hint="eastAsia"/>
              </w:rPr>
              <w:t>近三年年度考核为优秀等次</w:t>
            </w:r>
          </w:p>
        </w:tc>
        <w:tc>
          <w:tcPr>
            <w:tcW w:w="1828" w:type="dxa"/>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0"/>
            <w:vAlign w:val="center"/>
          </w:tcPr>
          <w:p>
            <w:pPr>
              <w:pStyle w:val="17"/>
              <w:bidi w:val="0"/>
              <w:jc w:val="center"/>
              <w:rPr>
                <w:rFonts w:hint="eastAsia"/>
              </w:rPr>
            </w:pPr>
            <w:r>
              <w:rPr>
                <w:rFonts w:hint="eastAsia"/>
              </w:rPr>
              <w:t>3</w:t>
            </w:r>
          </w:p>
        </w:tc>
        <w:tc>
          <w:tcPr>
            <w:tcW w:w="1418" w:type="dxa"/>
            <w:noWrap w:val="0"/>
            <w:vAlign w:val="center"/>
          </w:tcPr>
          <w:p>
            <w:pPr>
              <w:pStyle w:val="17"/>
              <w:bidi w:val="0"/>
              <w:jc w:val="center"/>
              <w:rPr>
                <w:rFonts w:hint="eastAsia"/>
              </w:rPr>
            </w:pPr>
            <w:r>
              <w:rPr>
                <w:rFonts w:hint="eastAsia"/>
              </w:rPr>
              <w:t>n</w:t>
            </w:r>
          </w:p>
        </w:tc>
        <w:tc>
          <w:tcPr>
            <w:tcW w:w="3685" w:type="dxa"/>
            <w:noWrap w:val="0"/>
            <w:vAlign w:val="center"/>
          </w:tcPr>
          <w:p>
            <w:pPr>
              <w:pStyle w:val="17"/>
              <w:bidi w:val="0"/>
              <w:jc w:val="center"/>
              <w:rPr>
                <w:rFonts w:hint="eastAsia"/>
              </w:rPr>
            </w:pPr>
            <w:r>
              <w:rPr>
                <w:rFonts w:hint="eastAsia"/>
              </w:rPr>
              <w:t>n为年度考核为优秀等次的个数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restart"/>
            <w:noWrap w:val="0"/>
            <w:vAlign w:val="center"/>
          </w:tcPr>
          <w:p>
            <w:pPr>
              <w:pStyle w:val="17"/>
              <w:bidi w:val="0"/>
              <w:jc w:val="center"/>
              <w:rPr>
                <w:rFonts w:hint="eastAsia"/>
              </w:rPr>
            </w:pPr>
            <w:r>
              <w:rPr>
                <w:rFonts w:hint="eastAsia"/>
              </w:rPr>
              <w:t>专业技术经历和水平（</w:t>
            </w:r>
            <w:r>
              <w:rPr>
                <w:rFonts w:hint="eastAsia"/>
                <w:lang w:val="en-US" w:eastAsia="zh-CN"/>
              </w:rPr>
              <w:t>40</w:t>
            </w:r>
            <w:r>
              <w:rPr>
                <w:rFonts w:hint="eastAsia"/>
              </w:rPr>
              <w:t>分）</w:t>
            </w:r>
          </w:p>
        </w:tc>
        <w:tc>
          <w:tcPr>
            <w:tcW w:w="1395" w:type="dxa"/>
            <w:vMerge w:val="restart"/>
            <w:noWrap w:val="0"/>
            <w:vAlign w:val="center"/>
          </w:tcPr>
          <w:p>
            <w:pPr>
              <w:pStyle w:val="17"/>
              <w:bidi w:val="0"/>
              <w:jc w:val="center"/>
              <w:rPr>
                <w:rFonts w:hint="eastAsia"/>
              </w:rPr>
            </w:pPr>
            <w:r>
              <w:rPr>
                <w:rFonts w:hint="eastAsia"/>
              </w:rPr>
              <w:t>专业学习经历（5分）</w:t>
            </w:r>
          </w:p>
        </w:tc>
        <w:tc>
          <w:tcPr>
            <w:tcW w:w="1781" w:type="dxa"/>
            <w:vMerge w:val="restart"/>
            <w:noWrap w:val="0"/>
            <w:vAlign w:val="center"/>
          </w:tcPr>
          <w:p>
            <w:pPr>
              <w:pStyle w:val="17"/>
              <w:bidi w:val="0"/>
              <w:jc w:val="center"/>
              <w:rPr>
                <w:rFonts w:hint="eastAsia"/>
              </w:rPr>
            </w:pPr>
            <w:r>
              <w:rPr>
                <w:rFonts w:hint="eastAsia"/>
              </w:rPr>
              <w:t>研究生及以上（含第二学位、工程硕士）</w:t>
            </w:r>
          </w:p>
        </w:tc>
        <w:tc>
          <w:tcPr>
            <w:tcW w:w="1828" w:type="dxa"/>
            <w:noWrap/>
            <w:vAlign w:val="center"/>
          </w:tcPr>
          <w:p>
            <w:pPr>
              <w:pStyle w:val="17"/>
              <w:bidi w:val="0"/>
              <w:jc w:val="center"/>
              <w:rPr>
                <w:rFonts w:hint="eastAsia"/>
              </w:rPr>
            </w:pPr>
            <w:r>
              <w:rPr>
                <w:rFonts w:hint="eastAsia"/>
              </w:rPr>
              <w:t>本专业</w:t>
            </w:r>
          </w:p>
        </w:tc>
        <w:tc>
          <w:tcPr>
            <w:tcW w:w="1760" w:type="dxa"/>
            <w:noWrap/>
            <w:vAlign w:val="center"/>
          </w:tcPr>
          <w:p>
            <w:pPr>
              <w:pStyle w:val="17"/>
              <w:bidi w:val="0"/>
              <w:jc w:val="center"/>
              <w:rPr>
                <w:rFonts w:hint="eastAsia"/>
              </w:rPr>
            </w:pPr>
          </w:p>
        </w:tc>
        <w:tc>
          <w:tcPr>
            <w:tcW w:w="850" w:type="dxa"/>
            <w:vMerge w:val="restart"/>
            <w:noWrap/>
            <w:vAlign w:val="center"/>
          </w:tcPr>
          <w:p>
            <w:pPr>
              <w:pStyle w:val="17"/>
              <w:bidi w:val="0"/>
              <w:jc w:val="center"/>
              <w:rPr>
                <w:rFonts w:hint="eastAsia"/>
              </w:rPr>
            </w:pPr>
            <w:r>
              <w:rPr>
                <w:rFonts w:hint="eastAsia"/>
              </w:rPr>
              <w:t>5</w:t>
            </w:r>
          </w:p>
        </w:tc>
        <w:tc>
          <w:tcPr>
            <w:tcW w:w="1418" w:type="dxa"/>
            <w:noWrap/>
            <w:vAlign w:val="center"/>
          </w:tcPr>
          <w:p>
            <w:pPr>
              <w:pStyle w:val="17"/>
              <w:bidi w:val="0"/>
              <w:jc w:val="center"/>
              <w:rPr>
                <w:rFonts w:hint="eastAsia"/>
              </w:rPr>
            </w:pPr>
            <w:r>
              <w:rPr>
                <w:rFonts w:hint="eastAsia"/>
              </w:rPr>
              <w:t>5</w:t>
            </w:r>
          </w:p>
        </w:tc>
        <w:tc>
          <w:tcPr>
            <w:tcW w:w="3685" w:type="dxa"/>
            <w:vMerge w:val="restart"/>
            <w:noWrap w:val="0"/>
            <w:vAlign w:val="center"/>
          </w:tcPr>
          <w:p>
            <w:pPr>
              <w:pStyle w:val="17"/>
              <w:bidi w:val="0"/>
              <w:jc w:val="center"/>
              <w:rPr>
                <w:rFonts w:hint="eastAsia"/>
              </w:rPr>
            </w:pPr>
            <w:r>
              <w:rPr>
                <w:rFonts w:hint="eastAsia"/>
              </w:rPr>
              <w:t>取得的学历、学位按最高项计分；第二学位、工程硕士学位以教育部门认定为准。</w:t>
            </w:r>
          </w:p>
          <w:p>
            <w:pPr>
              <w:pStyle w:val="17"/>
              <w:bidi w:val="0"/>
              <w:jc w:val="center"/>
              <w:rPr>
                <w:rFonts w:hint="eastAsia"/>
              </w:rPr>
            </w:pPr>
            <w:r>
              <w:rPr>
                <w:rFonts w:hint="eastAsia"/>
              </w:rPr>
              <w:t>本专业是指一级学科“安全科学与工程”下设置的专业或其他一级学科下设置的安全管理工程或安全技术及工程专业。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非本专业</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4</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restart"/>
            <w:noWrap w:val="0"/>
            <w:vAlign w:val="center"/>
          </w:tcPr>
          <w:p>
            <w:pPr>
              <w:pStyle w:val="17"/>
              <w:bidi w:val="0"/>
              <w:jc w:val="center"/>
              <w:rPr>
                <w:rFonts w:hint="eastAsia"/>
              </w:rPr>
            </w:pPr>
            <w:r>
              <w:rPr>
                <w:rFonts w:hint="eastAsia"/>
              </w:rPr>
              <w:t>本科</w:t>
            </w:r>
          </w:p>
        </w:tc>
        <w:tc>
          <w:tcPr>
            <w:tcW w:w="1828" w:type="dxa"/>
            <w:noWrap/>
            <w:vAlign w:val="center"/>
          </w:tcPr>
          <w:p>
            <w:pPr>
              <w:pStyle w:val="17"/>
              <w:bidi w:val="0"/>
              <w:jc w:val="center"/>
              <w:rPr>
                <w:rFonts w:hint="eastAsia"/>
              </w:rPr>
            </w:pPr>
            <w:r>
              <w:rPr>
                <w:rFonts w:hint="eastAsia"/>
              </w:rPr>
              <w:t>本专业</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4</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非本专业</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3</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restart"/>
            <w:noWrap w:val="0"/>
            <w:vAlign w:val="center"/>
          </w:tcPr>
          <w:p>
            <w:pPr>
              <w:pStyle w:val="17"/>
              <w:bidi w:val="0"/>
              <w:jc w:val="center"/>
              <w:rPr>
                <w:rFonts w:hint="eastAsia"/>
              </w:rPr>
            </w:pPr>
            <w:r>
              <w:rPr>
                <w:rFonts w:hint="eastAsia"/>
              </w:rPr>
              <w:t>专科</w:t>
            </w:r>
          </w:p>
        </w:tc>
        <w:tc>
          <w:tcPr>
            <w:tcW w:w="1828" w:type="dxa"/>
            <w:noWrap/>
            <w:vAlign w:val="center"/>
          </w:tcPr>
          <w:p>
            <w:pPr>
              <w:pStyle w:val="17"/>
              <w:bidi w:val="0"/>
              <w:jc w:val="center"/>
              <w:rPr>
                <w:rFonts w:hint="eastAsia"/>
              </w:rPr>
            </w:pPr>
            <w:r>
              <w:rPr>
                <w:rFonts w:hint="eastAsia"/>
              </w:rPr>
              <w:t>本专业</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3</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非本专业</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2</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noWrap w:val="0"/>
            <w:vAlign w:val="center"/>
          </w:tcPr>
          <w:p>
            <w:pPr>
              <w:pStyle w:val="17"/>
              <w:bidi w:val="0"/>
              <w:jc w:val="center"/>
              <w:rPr>
                <w:rFonts w:hint="eastAsia"/>
              </w:rPr>
            </w:pPr>
            <w:r>
              <w:rPr>
                <w:rFonts w:hint="eastAsia"/>
              </w:rPr>
              <w:t>专业工作经历（10分）</w:t>
            </w:r>
          </w:p>
        </w:tc>
        <w:tc>
          <w:tcPr>
            <w:tcW w:w="1781" w:type="dxa"/>
            <w:noWrap w:val="0"/>
            <w:vAlign w:val="center"/>
          </w:tcPr>
          <w:p>
            <w:pPr>
              <w:pStyle w:val="17"/>
              <w:bidi w:val="0"/>
              <w:jc w:val="center"/>
              <w:rPr>
                <w:rFonts w:hint="eastAsia"/>
              </w:rPr>
            </w:pPr>
            <w:r>
              <w:rPr>
                <w:rFonts w:hint="eastAsia"/>
              </w:rPr>
              <w:t>从事安全工程专业工作年限</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10</w:t>
            </w:r>
          </w:p>
        </w:tc>
        <w:tc>
          <w:tcPr>
            <w:tcW w:w="1418" w:type="dxa"/>
            <w:noWrap/>
            <w:vAlign w:val="center"/>
          </w:tcPr>
          <w:p>
            <w:pPr>
              <w:pStyle w:val="17"/>
              <w:bidi w:val="0"/>
              <w:jc w:val="center"/>
              <w:rPr>
                <w:rFonts w:hint="eastAsia"/>
              </w:rPr>
            </w:pPr>
            <w:r>
              <w:rPr>
                <w:rFonts w:hint="eastAsia"/>
              </w:rPr>
              <w:t>1n</w:t>
            </w:r>
          </w:p>
        </w:tc>
        <w:tc>
          <w:tcPr>
            <w:tcW w:w="3685" w:type="dxa"/>
            <w:noWrap w:val="0"/>
            <w:vAlign w:val="center"/>
          </w:tcPr>
          <w:p>
            <w:pPr>
              <w:pStyle w:val="17"/>
              <w:bidi w:val="0"/>
              <w:jc w:val="center"/>
              <w:rPr>
                <w:rFonts w:hint="eastAsia"/>
              </w:rPr>
            </w:pPr>
            <w:r>
              <w:rPr>
                <w:rFonts w:hint="eastAsia"/>
              </w:rPr>
              <w:t>n为年限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外语和计算机能力</w:t>
            </w:r>
          </w:p>
          <w:p>
            <w:pPr>
              <w:pStyle w:val="17"/>
              <w:bidi w:val="0"/>
              <w:jc w:val="center"/>
              <w:rPr>
                <w:rFonts w:hint="eastAsia"/>
              </w:rPr>
            </w:pPr>
            <w:r>
              <w:rPr>
                <w:rFonts w:hint="eastAsia"/>
              </w:rPr>
              <w:t>（2分）</w:t>
            </w:r>
          </w:p>
        </w:tc>
        <w:tc>
          <w:tcPr>
            <w:tcW w:w="1781" w:type="dxa"/>
            <w:noWrap w:val="0"/>
            <w:vAlign w:val="center"/>
          </w:tcPr>
          <w:p>
            <w:pPr>
              <w:pStyle w:val="17"/>
              <w:bidi w:val="0"/>
              <w:jc w:val="center"/>
              <w:rPr>
                <w:rFonts w:hint="eastAsia"/>
              </w:rPr>
            </w:pPr>
            <w:r>
              <w:rPr>
                <w:rFonts w:hint="eastAsia"/>
              </w:rPr>
              <w:t>取得职称外语类别C级及以上证书</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0.5</w:t>
            </w:r>
          </w:p>
        </w:tc>
        <w:tc>
          <w:tcPr>
            <w:tcW w:w="1418" w:type="dxa"/>
            <w:noWrap/>
            <w:vAlign w:val="center"/>
          </w:tcPr>
          <w:p>
            <w:pPr>
              <w:pStyle w:val="17"/>
              <w:bidi w:val="0"/>
              <w:jc w:val="center"/>
              <w:rPr>
                <w:rFonts w:hint="eastAsia"/>
              </w:rPr>
            </w:pPr>
            <w:r>
              <w:rPr>
                <w:rFonts w:hint="eastAsia"/>
              </w:rPr>
              <w:t>0.5</w:t>
            </w:r>
          </w:p>
        </w:tc>
        <w:tc>
          <w:tcPr>
            <w:tcW w:w="3685" w:type="dxa"/>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noWrap w:val="0"/>
            <w:vAlign w:val="center"/>
          </w:tcPr>
          <w:p>
            <w:pPr>
              <w:pStyle w:val="17"/>
              <w:bidi w:val="0"/>
              <w:jc w:val="center"/>
              <w:rPr>
                <w:rFonts w:hint="eastAsia"/>
              </w:rPr>
            </w:pPr>
            <w:r>
              <w:rPr>
                <w:rFonts w:hint="eastAsia"/>
              </w:rPr>
              <w:t>取得《全国专业技术人员计算机应用能力考试合格证》</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1.5</w:t>
            </w:r>
          </w:p>
        </w:tc>
        <w:tc>
          <w:tcPr>
            <w:tcW w:w="1418" w:type="dxa"/>
            <w:noWrap/>
            <w:vAlign w:val="center"/>
          </w:tcPr>
          <w:p>
            <w:pPr>
              <w:pStyle w:val="17"/>
              <w:bidi w:val="0"/>
              <w:jc w:val="center"/>
              <w:rPr>
                <w:rFonts w:hint="eastAsia"/>
              </w:rPr>
            </w:pPr>
            <w:r>
              <w:rPr>
                <w:rFonts w:hint="eastAsia"/>
              </w:rPr>
              <w:t>1.5</w:t>
            </w:r>
          </w:p>
        </w:tc>
        <w:tc>
          <w:tcPr>
            <w:tcW w:w="3685" w:type="dxa"/>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知识更新情况（8分）</w:t>
            </w:r>
          </w:p>
        </w:tc>
        <w:tc>
          <w:tcPr>
            <w:tcW w:w="1781" w:type="dxa"/>
            <w:vMerge w:val="restart"/>
            <w:noWrap w:val="0"/>
            <w:vAlign w:val="center"/>
          </w:tcPr>
          <w:p>
            <w:pPr>
              <w:pStyle w:val="17"/>
              <w:bidi w:val="0"/>
              <w:jc w:val="center"/>
              <w:rPr>
                <w:rFonts w:hint="eastAsia"/>
              </w:rPr>
            </w:pPr>
            <w:r>
              <w:rPr>
                <w:rFonts w:hint="eastAsia"/>
              </w:rPr>
              <w:t>继续教育</w:t>
            </w:r>
          </w:p>
        </w:tc>
        <w:tc>
          <w:tcPr>
            <w:tcW w:w="1828" w:type="dxa"/>
            <w:vMerge w:val="restart"/>
            <w:noWrap/>
            <w:vAlign w:val="center"/>
          </w:tcPr>
          <w:p>
            <w:pPr>
              <w:pStyle w:val="17"/>
              <w:bidi w:val="0"/>
              <w:jc w:val="center"/>
              <w:rPr>
                <w:rFonts w:hint="eastAsia"/>
              </w:rPr>
            </w:pPr>
            <w:r>
              <w:rPr>
                <w:rFonts w:hint="eastAsia"/>
              </w:rPr>
              <w:t>学时登记</w:t>
            </w:r>
          </w:p>
        </w:tc>
        <w:tc>
          <w:tcPr>
            <w:tcW w:w="1760" w:type="dxa"/>
            <w:noWrap/>
            <w:vAlign w:val="center"/>
          </w:tcPr>
          <w:p>
            <w:pPr>
              <w:pStyle w:val="17"/>
              <w:bidi w:val="0"/>
              <w:jc w:val="center"/>
              <w:rPr>
                <w:rFonts w:hint="eastAsia"/>
              </w:rPr>
            </w:pPr>
            <w:r>
              <w:rPr>
                <w:rFonts w:hint="eastAsia"/>
              </w:rPr>
              <w:t>90学时以上</w:t>
            </w:r>
          </w:p>
        </w:tc>
        <w:tc>
          <w:tcPr>
            <w:tcW w:w="850" w:type="dxa"/>
            <w:vMerge w:val="restart"/>
            <w:noWrap/>
            <w:vAlign w:val="center"/>
          </w:tcPr>
          <w:p>
            <w:pPr>
              <w:pStyle w:val="17"/>
              <w:bidi w:val="0"/>
              <w:jc w:val="center"/>
              <w:rPr>
                <w:rFonts w:hint="eastAsia"/>
              </w:rPr>
            </w:pPr>
            <w:r>
              <w:rPr>
                <w:rFonts w:hint="eastAsia"/>
              </w:rPr>
              <w:t>8</w:t>
            </w:r>
          </w:p>
        </w:tc>
        <w:tc>
          <w:tcPr>
            <w:tcW w:w="1418" w:type="dxa"/>
            <w:noWrap/>
            <w:vAlign w:val="center"/>
          </w:tcPr>
          <w:p>
            <w:pPr>
              <w:pStyle w:val="17"/>
              <w:bidi w:val="0"/>
              <w:jc w:val="center"/>
              <w:rPr>
                <w:rFonts w:hint="eastAsia"/>
              </w:rPr>
            </w:pPr>
            <w:r>
              <w:rPr>
                <w:rFonts w:hint="eastAsia"/>
              </w:rPr>
              <w:t>8</w:t>
            </w:r>
          </w:p>
        </w:tc>
        <w:tc>
          <w:tcPr>
            <w:tcW w:w="3685" w:type="dxa"/>
            <w:vMerge w:val="restart"/>
            <w:noWrap w:val="0"/>
            <w:vAlign w:val="center"/>
          </w:tcPr>
          <w:p>
            <w:pPr>
              <w:pStyle w:val="17"/>
              <w:bidi w:val="0"/>
              <w:jc w:val="center"/>
              <w:rPr>
                <w:rFonts w:hint="eastAsia"/>
              </w:rPr>
            </w:pPr>
            <w:r>
              <w:rPr>
                <w:rFonts w:hint="eastAsia"/>
              </w:rPr>
              <w:t>近3年继续教育年均学时，单位内部培训学时最高折算为20学时。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vMerge w:val="continue"/>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60-90学时</w:t>
            </w: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6</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vMerge w:val="continue"/>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40-60学时</w:t>
            </w: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4</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vMerge w:val="continue"/>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27-40学时</w:t>
            </w: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2</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noWrap w:val="0"/>
            <w:vAlign w:val="center"/>
          </w:tcPr>
          <w:p>
            <w:pPr>
              <w:pStyle w:val="17"/>
              <w:bidi w:val="0"/>
              <w:jc w:val="center"/>
              <w:rPr>
                <w:rFonts w:hint="eastAsia"/>
              </w:rPr>
            </w:pPr>
            <w:r>
              <w:rPr>
                <w:rFonts w:hint="eastAsia"/>
              </w:rPr>
              <w:t>资格证书（3分）</w:t>
            </w:r>
          </w:p>
        </w:tc>
        <w:tc>
          <w:tcPr>
            <w:tcW w:w="1781" w:type="dxa"/>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rPr>
            </w:pPr>
            <w:r>
              <w:rPr>
                <w:rFonts w:hint="eastAsia"/>
              </w:rPr>
              <w:t>初级注册安全工程师从业资格证书</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3</w:t>
            </w:r>
          </w:p>
        </w:tc>
        <w:tc>
          <w:tcPr>
            <w:tcW w:w="1418" w:type="dxa"/>
            <w:noWrap/>
            <w:vAlign w:val="center"/>
          </w:tcPr>
          <w:p>
            <w:pPr>
              <w:pStyle w:val="17"/>
              <w:bidi w:val="0"/>
              <w:jc w:val="center"/>
              <w:rPr>
                <w:rFonts w:hint="eastAsia"/>
              </w:rPr>
            </w:pPr>
            <w:r>
              <w:rPr>
                <w:rFonts w:hint="eastAsia"/>
              </w:rPr>
              <w:t>3</w:t>
            </w:r>
          </w:p>
        </w:tc>
        <w:tc>
          <w:tcPr>
            <w:tcW w:w="3685" w:type="dxa"/>
            <w:noWrap w:val="0"/>
            <w:vAlign w:val="center"/>
          </w:tcPr>
          <w:p>
            <w:pPr>
              <w:pStyle w:val="17"/>
              <w:bidi w:val="0"/>
              <w:jc w:val="center"/>
              <w:rPr>
                <w:rFonts w:hint="eastAsia"/>
              </w:rPr>
            </w:pPr>
            <w:r>
              <w:rPr>
                <w:rFonts w:hint="eastAsia"/>
              </w:rPr>
              <w:t>应在申报单位注册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行业影响力（12分）</w:t>
            </w:r>
          </w:p>
        </w:tc>
        <w:tc>
          <w:tcPr>
            <w:tcW w:w="1781" w:type="dxa"/>
            <w:vMerge w:val="restart"/>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rPr>
            </w:pPr>
            <w:r>
              <w:rPr>
                <w:rFonts w:hint="eastAsia"/>
              </w:rPr>
              <w:t>在安全工程行业协会、学会或行业公认的权威性社会团体组织中担任常务理事或执行委员以上职务的。</w:t>
            </w:r>
          </w:p>
        </w:tc>
        <w:tc>
          <w:tcPr>
            <w:tcW w:w="1828" w:type="dxa"/>
            <w:noWrap/>
            <w:vAlign w:val="center"/>
          </w:tcPr>
          <w:p>
            <w:pPr>
              <w:pStyle w:val="17"/>
              <w:bidi w:val="0"/>
              <w:jc w:val="center"/>
              <w:rPr>
                <w:rFonts w:hint="eastAsia"/>
              </w:rPr>
            </w:pPr>
            <w:r>
              <w:rPr>
                <w:rFonts w:hint="eastAsia"/>
              </w:rPr>
              <w:t>市级及以上</w:t>
            </w: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4</w:t>
            </w:r>
          </w:p>
        </w:tc>
        <w:tc>
          <w:tcPr>
            <w:tcW w:w="1418" w:type="dxa"/>
            <w:noWrap/>
            <w:vAlign w:val="center"/>
          </w:tcPr>
          <w:p>
            <w:pPr>
              <w:pStyle w:val="17"/>
              <w:bidi w:val="0"/>
              <w:jc w:val="center"/>
              <w:rPr>
                <w:rFonts w:hint="eastAsia"/>
              </w:rPr>
            </w:pPr>
            <w:r>
              <w:rPr>
                <w:rFonts w:hint="eastAsia"/>
              </w:rPr>
              <w:t>4</w:t>
            </w:r>
          </w:p>
        </w:tc>
        <w:tc>
          <w:tcPr>
            <w:tcW w:w="3685" w:type="dxa"/>
            <w:vMerge w:val="restart"/>
            <w:noWrap w:val="0"/>
            <w:vAlign w:val="center"/>
          </w:tcPr>
          <w:p>
            <w:pPr>
              <w:pStyle w:val="17"/>
              <w:bidi w:val="0"/>
              <w:jc w:val="center"/>
              <w:rPr>
                <w:rFonts w:hint="eastAsia"/>
              </w:rPr>
            </w:pPr>
            <w:r>
              <w:rPr>
                <w:rFonts w:hint="eastAsia"/>
              </w:rPr>
              <w:t>1.此处的“学术团体、学术组织”主要是指合法登记的与安全工程相关的具有学术性质的社会团体或社会组织，不包括纯商业性质的商会、行业协会等；2.按参与的最高层级的学术团体、学术组织计一次，不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rPr>
            </w:pPr>
          </w:p>
        </w:tc>
        <w:tc>
          <w:tcPr>
            <w:tcW w:w="1828" w:type="dxa"/>
            <w:noWrap/>
            <w:vAlign w:val="center"/>
          </w:tcPr>
          <w:p>
            <w:pPr>
              <w:pStyle w:val="17"/>
              <w:bidi w:val="0"/>
              <w:jc w:val="center"/>
              <w:rPr>
                <w:rFonts w:hint="eastAsia"/>
              </w:rPr>
            </w:pPr>
            <w:r>
              <w:rPr>
                <w:rFonts w:hint="eastAsia"/>
              </w:rPr>
              <w:t>区县级</w:t>
            </w: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2</w:t>
            </w:r>
          </w:p>
        </w:tc>
        <w:tc>
          <w:tcPr>
            <w:tcW w:w="1418" w:type="dxa"/>
            <w:noWrap/>
            <w:vAlign w:val="center"/>
          </w:tcPr>
          <w:p>
            <w:pPr>
              <w:pStyle w:val="17"/>
              <w:bidi w:val="0"/>
              <w:jc w:val="center"/>
              <w:rPr>
                <w:rFonts w:hint="eastAsia"/>
              </w:rPr>
            </w:pPr>
            <w:r>
              <w:rPr>
                <w:rFonts w:hint="eastAsia"/>
              </w:rPr>
              <w:t>2</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restart"/>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rPr>
            </w:pPr>
            <w:r>
              <w:rPr>
                <w:rFonts w:hint="eastAsia"/>
              </w:rPr>
              <w:t>企业内担任应急管理方面技术负责人，并取得良好社会效益、经济效益和企业整体管理能力的提升或者</w:t>
            </w:r>
          </w:p>
        </w:tc>
        <w:tc>
          <w:tcPr>
            <w:tcW w:w="1828" w:type="dxa"/>
            <w:noWrap/>
            <w:vAlign w:val="center"/>
          </w:tcPr>
          <w:p>
            <w:pPr>
              <w:pStyle w:val="17"/>
              <w:bidi w:val="0"/>
              <w:jc w:val="center"/>
              <w:rPr>
                <w:rFonts w:hint="eastAsia"/>
              </w:rPr>
            </w:pPr>
            <w:r>
              <w:rPr>
                <w:rFonts w:hint="eastAsia"/>
              </w:rPr>
              <w:t>企业级</w:t>
            </w:r>
          </w:p>
        </w:tc>
        <w:tc>
          <w:tcPr>
            <w:tcW w:w="1760" w:type="dxa"/>
            <w:noWrap/>
            <w:vAlign w:val="center"/>
          </w:tcPr>
          <w:p>
            <w:pPr>
              <w:pStyle w:val="17"/>
              <w:bidi w:val="0"/>
              <w:jc w:val="center"/>
              <w:rPr>
                <w:rFonts w:hint="eastAsia"/>
              </w:rPr>
            </w:pPr>
          </w:p>
        </w:tc>
        <w:tc>
          <w:tcPr>
            <w:tcW w:w="850" w:type="dxa"/>
            <w:vMerge w:val="restart"/>
            <w:noWrap/>
            <w:vAlign w:val="center"/>
          </w:tcPr>
          <w:p>
            <w:pPr>
              <w:pStyle w:val="17"/>
              <w:bidi w:val="0"/>
              <w:jc w:val="center"/>
              <w:rPr>
                <w:rFonts w:hint="eastAsia"/>
              </w:rPr>
            </w:pPr>
            <w:r>
              <w:rPr>
                <w:rFonts w:hint="eastAsia"/>
              </w:rPr>
              <w:t>6</w:t>
            </w:r>
          </w:p>
        </w:tc>
        <w:tc>
          <w:tcPr>
            <w:tcW w:w="1418" w:type="dxa"/>
            <w:noWrap/>
            <w:vAlign w:val="center"/>
          </w:tcPr>
          <w:p>
            <w:pPr>
              <w:pStyle w:val="17"/>
              <w:bidi w:val="0"/>
              <w:jc w:val="center"/>
              <w:rPr>
                <w:rFonts w:hint="eastAsia"/>
              </w:rPr>
            </w:pPr>
            <w:r>
              <w:rPr>
                <w:rFonts w:hint="eastAsia"/>
              </w:rPr>
              <w:t>6</w:t>
            </w:r>
          </w:p>
        </w:tc>
        <w:tc>
          <w:tcPr>
            <w:tcW w:w="3685" w:type="dxa"/>
            <w:vMerge w:val="restart"/>
            <w:noWrap w:val="0"/>
            <w:vAlign w:val="center"/>
          </w:tcPr>
          <w:p>
            <w:pPr>
              <w:pStyle w:val="17"/>
              <w:bidi w:val="0"/>
              <w:jc w:val="center"/>
              <w:rPr>
                <w:rFonts w:hint="eastAsia"/>
              </w:rPr>
            </w:pPr>
            <w:r>
              <w:rPr>
                <w:rFonts w:hint="eastAsia"/>
              </w:rPr>
              <w:t>按最高层级计一次，同一层次可累计，n为项目数量。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部门级</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4n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lang w:eastAsia="zh-CN"/>
              </w:rPr>
            </w:pPr>
          </w:p>
        </w:tc>
        <w:tc>
          <w:tcPr>
            <w:tcW w:w="1395" w:type="dxa"/>
            <w:vMerge w:val="restart"/>
            <w:noWrap w:val="0"/>
            <w:vAlign w:val="center"/>
          </w:tcPr>
          <w:p>
            <w:pPr>
              <w:pStyle w:val="17"/>
              <w:bidi w:val="0"/>
              <w:jc w:val="center"/>
              <w:rPr>
                <w:rFonts w:hint="eastAsia"/>
              </w:rPr>
            </w:pPr>
            <w:r>
              <w:rPr>
                <w:rFonts w:hint="eastAsia"/>
              </w:rPr>
              <w:t>行业影响力（12分）</w:t>
            </w:r>
          </w:p>
        </w:tc>
        <w:tc>
          <w:tcPr>
            <w:tcW w:w="1781" w:type="dxa"/>
            <w:vMerge w:val="restart"/>
            <w:noWrap w:val="0"/>
            <w:vAlign w:val="center"/>
          </w:tcPr>
          <w:p>
            <w:pPr>
              <w:pStyle w:val="17"/>
              <w:bidi w:val="0"/>
              <w:jc w:val="center"/>
              <w:rPr>
                <w:rFonts w:hint="eastAsia"/>
              </w:rPr>
            </w:pPr>
            <w:r>
              <w:rPr>
                <w:rFonts w:hint="eastAsia"/>
              </w:rPr>
              <w:t>在安全工程中介机构能力突出，能够独立开展相关技术工作，并入选应急管理专家库。</w:t>
            </w:r>
          </w:p>
        </w:tc>
        <w:tc>
          <w:tcPr>
            <w:tcW w:w="1828" w:type="dxa"/>
            <w:noWrap/>
            <w:vAlign w:val="center"/>
          </w:tcPr>
          <w:p>
            <w:pPr>
              <w:pStyle w:val="17"/>
              <w:bidi w:val="0"/>
              <w:jc w:val="center"/>
              <w:rPr>
                <w:rFonts w:hint="eastAsia"/>
              </w:rPr>
            </w:pPr>
            <w:r>
              <w:rPr>
                <w:rFonts w:hint="eastAsia"/>
              </w:rPr>
              <w:t>市级（职能部门行业）及以上</w:t>
            </w: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6</w:t>
            </w:r>
          </w:p>
        </w:tc>
        <w:tc>
          <w:tcPr>
            <w:tcW w:w="1418" w:type="dxa"/>
            <w:noWrap/>
            <w:vAlign w:val="center"/>
          </w:tcPr>
          <w:p>
            <w:pPr>
              <w:pStyle w:val="17"/>
              <w:bidi w:val="0"/>
              <w:jc w:val="center"/>
              <w:rPr>
                <w:rFonts w:hint="eastAsia"/>
              </w:rPr>
            </w:pPr>
            <w:r>
              <w:rPr>
                <w:rFonts w:hint="eastAsia"/>
              </w:rPr>
              <w:t>6</w:t>
            </w:r>
          </w:p>
        </w:tc>
        <w:tc>
          <w:tcPr>
            <w:tcW w:w="3685" w:type="dxa"/>
            <w:vMerge w:val="restart"/>
            <w:noWrap w:val="0"/>
            <w:vAlign w:val="center"/>
          </w:tcPr>
          <w:p>
            <w:pPr>
              <w:pStyle w:val="17"/>
              <w:bidi w:val="0"/>
              <w:jc w:val="center"/>
              <w:rPr>
                <w:rFonts w:hint="eastAsia"/>
              </w:rPr>
            </w:pPr>
            <w:r>
              <w:rPr>
                <w:rFonts w:hint="eastAsia"/>
              </w:rPr>
              <w:t>按参与的最高层级的专家库计一次，不累计。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区、县级</w:t>
            </w: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4</w:t>
            </w:r>
          </w:p>
        </w:tc>
        <w:tc>
          <w:tcPr>
            <w:tcW w:w="1418" w:type="dxa"/>
            <w:noWrap/>
            <w:vAlign w:val="center"/>
          </w:tcPr>
          <w:p>
            <w:pPr>
              <w:pStyle w:val="17"/>
              <w:bidi w:val="0"/>
              <w:jc w:val="center"/>
              <w:rPr>
                <w:rFonts w:hint="eastAsia"/>
              </w:rPr>
            </w:pPr>
            <w:r>
              <w:rPr>
                <w:rFonts w:hint="eastAsia"/>
              </w:rPr>
              <w:t>4</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5" w:hRule="atLeast"/>
          <w:jc w:val="center"/>
        </w:trPr>
        <w:tc>
          <w:tcPr>
            <w:tcW w:w="891" w:type="dxa"/>
            <w:vMerge w:val="restart"/>
            <w:noWrap w:val="0"/>
            <w:vAlign w:val="center"/>
          </w:tcPr>
          <w:p>
            <w:pPr>
              <w:pStyle w:val="17"/>
              <w:bidi w:val="0"/>
              <w:jc w:val="center"/>
              <w:rPr>
                <w:rFonts w:hint="eastAsia"/>
              </w:rPr>
            </w:pPr>
            <w:r>
              <w:rPr>
                <w:rFonts w:hint="eastAsia"/>
              </w:rPr>
              <w:t>成果和业绩（50分）</w:t>
            </w:r>
          </w:p>
        </w:tc>
        <w:tc>
          <w:tcPr>
            <w:tcW w:w="1395" w:type="dxa"/>
            <w:vMerge w:val="restart"/>
            <w:noWrap w:val="0"/>
            <w:vAlign w:val="center"/>
          </w:tcPr>
          <w:p>
            <w:pPr>
              <w:pStyle w:val="17"/>
              <w:bidi w:val="0"/>
              <w:jc w:val="center"/>
              <w:rPr>
                <w:rFonts w:hint="eastAsia"/>
              </w:rPr>
            </w:pPr>
            <w:r>
              <w:rPr>
                <w:rFonts w:hint="eastAsia"/>
              </w:rPr>
              <w:t>岗位业绩（30分，评分时选取1项二级指标进行打分，选定后其他3项二级指标空项）</w:t>
            </w:r>
          </w:p>
        </w:tc>
        <w:tc>
          <w:tcPr>
            <w:tcW w:w="1781" w:type="dxa"/>
            <w:noWrap w:val="0"/>
            <w:vAlign w:val="center"/>
          </w:tcPr>
          <w:p>
            <w:pPr>
              <w:pStyle w:val="17"/>
              <w:bidi w:val="0"/>
              <w:jc w:val="center"/>
              <w:rPr>
                <w:rFonts w:hint="eastAsia"/>
              </w:rPr>
            </w:pPr>
            <w:r>
              <w:rPr>
                <w:rFonts w:hint="eastAsia"/>
              </w:rPr>
              <w:t>安全评价与评估业绩</w:t>
            </w:r>
          </w:p>
        </w:tc>
        <w:tc>
          <w:tcPr>
            <w:tcW w:w="1828" w:type="dxa"/>
            <w:noWrap w:val="0"/>
            <w:vAlign w:val="center"/>
          </w:tcPr>
          <w:p>
            <w:pPr>
              <w:pStyle w:val="17"/>
              <w:bidi w:val="0"/>
              <w:jc w:val="center"/>
              <w:rPr>
                <w:rFonts w:hint="eastAsia"/>
              </w:rPr>
            </w:pPr>
            <w:r>
              <w:rPr>
                <w:rFonts w:hint="eastAsia"/>
              </w:rPr>
              <w:t>作为项目主持或参与者能对服务对象进行定量、定性的分析，从而提出有效的危险控制措施。</w:t>
            </w:r>
          </w:p>
        </w:tc>
        <w:tc>
          <w:tcPr>
            <w:tcW w:w="1760" w:type="dxa"/>
            <w:noWrap w:val="0"/>
            <w:vAlign w:val="center"/>
          </w:tcPr>
          <w:p>
            <w:pPr>
              <w:pStyle w:val="17"/>
              <w:bidi w:val="0"/>
              <w:jc w:val="center"/>
              <w:rPr>
                <w:rFonts w:hint="eastAsia"/>
              </w:rPr>
            </w:pPr>
            <w:r>
              <w:rPr>
                <w:rFonts w:hint="eastAsia"/>
              </w:rPr>
              <w:t>完成通过相应技术报告40份以上，并选择3份作为代表业绩。</w:t>
            </w:r>
          </w:p>
        </w:tc>
        <w:tc>
          <w:tcPr>
            <w:tcW w:w="850" w:type="dxa"/>
            <w:vMerge w:val="restart"/>
            <w:noWrap w:val="0"/>
            <w:vAlign w:val="center"/>
          </w:tcPr>
          <w:p>
            <w:pPr>
              <w:pStyle w:val="17"/>
              <w:bidi w:val="0"/>
              <w:jc w:val="center"/>
              <w:rPr>
                <w:rFonts w:hint="eastAsia"/>
              </w:rPr>
            </w:pPr>
            <w:r>
              <w:rPr>
                <w:rFonts w:hint="eastAsia"/>
              </w:rPr>
              <w:t>30</w:t>
            </w:r>
          </w:p>
        </w:tc>
        <w:tc>
          <w:tcPr>
            <w:tcW w:w="1418" w:type="dxa"/>
            <w:noWrap/>
            <w:vAlign w:val="center"/>
          </w:tcPr>
          <w:p>
            <w:pPr>
              <w:pStyle w:val="17"/>
              <w:bidi w:val="0"/>
              <w:jc w:val="center"/>
              <w:rPr>
                <w:rFonts w:hint="eastAsia"/>
              </w:rPr>
            </w:pPr>
            <w:r>
              <w:rPr>
                <w:rFonts w:hint="eastAsia"/>
              </w:rPr>
              <w:t>m+n</w:t>
            </w:r>
          </w:p>
        </w:tc>
        <w:tc>
          <w:tcPr>
            <w:tcW w:w="3685" w:type="dxa"/>
            <w:noWrap/>
            <w:vAlign w:val="center"/>
          </w:tcPr>
          <w:p>
            <w:pPr>
              <w:pStyle w:val="17"/>
              <w:bidi w:val="0"/>
              <w:jc w:val="center"/>
              <w:rPr>
                <w:rFonts w:hint="eastAsia"/>
              </w:rPr>
            </w:pPr>
            <w:r>
              <w:rPr>
                <w:rFonts w:hint="eastAsia"/>
              </w:rPr>
              <w:t>基本分m最高分值为22分，根据业绩贡献大小给予0～22分区间分值。附加分n最高为8分，根据3份代表业绩的评价类型、行业类别和企业规模系数相乘累计得出（四舍五入保留整数）。</w:t>
            </w:r>
          </w:p>
          <w:p>
            <w:pPr>
              <w:pStyle w:val="17"/>
              <w:bidi w:val="0"/>
              <w:spacing w:line="240" w:lineRule="auto"/>
              <w:jc w:val="center"/>
              <w:rPr>
                <w:rFonts w:hint="eastAsia" w:eastAsia="仿宋_GB2312"/>
                <w:lang w:eastAsia="zh-CN"/>
              </w:rPr>
            </w:pPr>
            <w:r>
              <w:rPr>
                <w:rFonts w:hint="eastAsia" w:eastAsia="仿宋_GB2312"/>
                <w:lang w:eastAsia="zh-CN"/>
              </w:rPr>
              <w:drawing>
                <wp:inline distT="0" distB="0" distL="114300" distR="114300">
                  <wp:extent cx="1944370" cy="2237105"/>
                  <wp:effectExtent l="0" t="0" r="17780" b="10795"/>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5"/>
                          <a:stretch>
                            <a:fillRect/>
                          </a:stretch>
                        </pic:blipFill>
                        <pic:spPr>
                          <a:xfrm>
                            <a:off x="0" y="0"/>
                            <a:ext cx="1944370" cy="22371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noWrap w:val="0"/>
            <w:vAlign w:val="center"/>
          </w:tcPr>
          <w:p>
            <w:pPr>
              <w:pStyle w:val="17"/>
              <w:bidi w:val="0"/>
              <w:jc w:val="center"/>
              <w:rPr>
                <w:rFonts w:hint="eastAsia"/>
              </w:rPr>
            </w:pPr>
            <w:r>
              <w:rPr>
                <w:rFonts w:hint="eastAsia"/>
              </w:rPr>
              <w:t>安全生产检测检验业绩</w:t>
            </w:r>
          </w:p>
        </w:tc>
        <w:tc>
          <w:tcPr>
            <w:tcW w:w="1828" w:type="dxa"/>
            <w:noWrap w:val="0"/>
            <w:vAlign w:val="center"/>
          </w:tcPr>
          <w:p>
            <w:pPr>
              <w:pStyle w:val="17"/>
              <w:bidi w:val="0"/>
              <w:jc w:val="center"/>
              <w:rPr>
                <w:rFonts w:hint="eastAsia"/>
              </w:rPr>
            </w:pPr>
            <w:r>
              <w:rPr>
                <w:rFonts w:hint="eastAsia"/>
              </w:rPr>
              <w:t>作为项目主持或参与者制定安全生产检测检验方案，完成安全生产检测检验工作，并有良好业绩。</w:t>
            </w:r>
          </w:p>
        </w:tc>
        <w:tc>
          <w:tcPr>
            <w:tcW w:w="1760" w:type="dxa"/>
            <w:noWrap w:val="0"/>
            <w:vAlign w:val="center"/>
          </w:tcPr>
          <w:p>
            <w:pPr>
              <w:pStyle w:val="17"/>
              <w:bidi w:val="0"/>
              <w:jc w:val="center"/>
              <w:rPr>
                <w:rFonts w:hint="eastAsia"/>
              </w:rPr>
            </w:pPr>
            <w:r>
              <w:rPr>
                <w:rFonts w:hint="eastAsia"/>
              </w:rPr>
              <w:t>完成通过相应技术报告30份/年以上，并选择15份作为代表业绩。</w:t>
            </w:r>
          </w:p>
        </w:tc>
        <w:tc>
          <w:tcPr>
            <w:tcW w:w="850" w:type="dxa"/>
            <w:vMerge w:val="continue"/>
            <w:noWrap w:val="0"/>
            <w:vAlign w:val="center"/>
          </w:tcPr>
          <w:p>
            <w:pPr>
              <w:pStyle w:val="17"/>
              <w:bidi w:val="0"/>
              <w:jc w:val="center"/>
              <w:rPr>
                <w:rFonts w:hint="eastAsia"/>
              </w:rPr>
            </w:pPr>
          </w:p>
        </w:tc>
        <w:tc>
          <w:tcPr>
            <w:tcW w:w="1418" w:type="dxa"/>
            <w:noWrap w:val="0"/>
            <w:vAlign w:val="center"/>
          </w:tcPr>
          <w:p>
            <w:pPr>
              <w:pStyle w:val="17"/>
              <w:bidi w:val="0"/>
              <w:jc w:val="center"/>
              <w:rPr>
                <w:rFonts w:hint="eastAsia"/>
              </w:rPr>
            </w:pPr>
            <w:r>
              <w:rPr>
                <w:rFonts w:hint="eastAsia"/>
              </w:rPr>
              <w:t>m+n</w:t>
            </w:r>
          </w:p>
        </w:tc>
        <w:tc>
          <w:tcPr>
            <w:tcW w:w="3685" w:type="dxa"/>
            <w:noWrap/>
            <w:vAlign w:val="center"/>
          </w:tcPr>
          <w:p>
            <w:pPr>
              <w:pStyle w:val="17"/>
              <w:bidi w:val="0"/>
              <w:jc w:val="center"/>
              <w:rPr>
                <w:rFonts w:hint="eastAsia"/>
              </w:rPr>
            </w:pPr>
            <w:r>
              <w:rPr>
                <w:rFonts w:hint="eastAsia"/>
              </w:rPr>
              <w:t>基本分m最高分值为22分，根据业绩贡献大小给予0～22分区间分值。附加分n最高为8分，不同项目可累加。</w:t>
            </w:r>
          </w:p>
          <w:p>
            <w:pPr>
              <w:pStyle w:val="17"/>
              <w:bidi w:val="0"/>
              <w:spacing w:line="240" w:lineRule="auto"/>
              <w:jc w:val="center"/>
              <w:rPr>
                <w:rFonts w:hint="eastAsia" w:eastAsia="仿宋_GB2312"/>
                <w:lang w:eastAsia="zh-CN"/>
              </w:rPr>
            </w:pPr>
            <w:r>
              <w:rPr>
                <w:rFonts w:hint="eastAsia" w:eastAsia="仿宋_GB2312"/>
                <w:lang w:eastAsia="zh-CN"/>
              </w:rPr>
              <w:drawing>
                <wp:inline distT="0" distB="0" distL="114300" distR="114300">
                  <wp:extent cx="2152650" cy="1447800"/>
                  <wp:effectExtent l="0" t="0" r="0" b="0"/>
                  <wp:docPr id="8" name="图片 8"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4"/>
                          <pic:cNvPicPr>
                            <a:picLocks noChangeAspect="1"/>
                          </pic:cNvPicPr>
                        </pic:nvPicPr>
                        <pic:blipFill>
                          <a:blip r:embed="rId6"/>
                          <a:stretch>
                            <a:fillRect/>
                          </a:stretch>
                        </pic:blipFill>
                        <pic:spPr>
                          <a:xfrm>
                            <a:off x="0" y="0"/>
                            <a:ext cx="2152650" cy="14478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5"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岗位业绩（30分，评分时选取1项二级指标进行打分，选定后其他二级指标空项）</w:t>
            </w:r>
          </w:p>
        </w:tc>
        <w:tc>
          <w:tcPr>
            <w:tcW w:w="1781" w:type="dxa"/>
            <w:noWrap w:val="0"/>
            <w:vAlign w:val="center"/>
          </w:tcPr>
          <w:p>
            <w:pPr>
              <w:pStyle w:val="17"/>
              <w:bidi w:val="0"/>
              <w:jc w:val="center"/>
              <w:rPr>
                <w:rFonts w:hint="eastAsia"/>
              </w:rPr>
            </w:pPr>
            <w:r>
              <w:rPr>
                <w:rFonts w:hint="eastAsia"/>
              </w:rPr>
              <w:t>安全技术服务业绩</w:t>
            </w:r>
          </w:p>
        </w:tc>
        <w:tc>
          <w:tcPr>
            <w:tcW w:w="1828" w:type="dxa"/>
            <w:noWrap w:val="0"/>
            <w:vAlign w:val="center"/>
          </w:tcPr>
          <w:p>
            <w:pPr>
              <w:pStyle w:val="17"/>
              <w:bidi w:val="0"/>
              <w:jc w:val="center"/>
              <w:rPr>
                <w:rFonts w:hint="eastAsia"/>
              </w:rPr>
            </w:pPr>
            <w:r>
              <w:rPr>
                <w:rFonts w:hint="eastAsia"/>
              </w:rPr>
              <w:t>作为项目负责人，</w:t>
            </w:r>
            <w:r>
              <w:rPr>
                <w:rFonts w:hint="eastAsia"/>
                <w:lang w:eastAsia="zh-CN"/>
              </w:rPr>
              <w:t>在指导企业持续运行安全生产标准化、开展安全生产社会化服务等工作中，</w:t>
            </w:r>
            <w:r>
              <w:rPr>
                <w:rFonts w:hint="eastAsia"/>
              </w:rPr>
              <w:t>能针对性指出服务对象存在的问题且提出对策措施。</w:t>
            </w:r>
          </w:p>
        </w:tc>
        <w:tc>
          <w:tcPr>
            <w:tcW w:w="1760" w:type="dxa"/>
            <w:noWrap w:val="0"/>
            <w:vAlign w:val="center"/>
          </w:tcPr>
          <w:p>
            <w:pPr>
              <w:pStyle w:val="17"/>
              <w:bidi w:val="0"/>
              <w:jc w:val="center"/>
              <w:rPr>
                <w:rFonts w:hint="eastAsia"/>
              </w:rPr>
            </w:pPr>
            <w:r>
              <w:rPr>
                <w:rFonts w:hint="eastAsia"/>
              </w:rPr>
              <w:t>完成通过相应技术报告40份以上，并选择3份作为代表业绩。</w:t>
            </w:r>
          </w:p>
        </w:tc>
        <w:tc>
          <w:tcPr>
            <w:tcW w:w="850" w:type="dxa"/>
            <w:vMerge w:val="continue"/>
            <w:noWrap/>
            <w:vAlign w:val="center"/>
          </w:tcPr>
          <w:p>
            <w:pPr>
              <w:pStyle w:val="17"/>
              <w:bidi w:val="0"/>
              <w:jc w:val="center"/>
              <w:rPr>
                <w:rFonts w:hint="eastAsia"/>
              </w:rPr>
            </w:pPr>
          </w:p>
        </w:tc>
        <w:tc>
          <w:tcPr>
            <w:tcW w:w="1418" w:type="dxa"/>
            <w:noWrap w:val="0"/>
            <w:vAlign w:val="center"/>
          </w:tcPr>
          <w:p>
            <w:pPr>
              <w:pStyle w:val="17"/>
              <w:bidi w:val="0"/>
              <w:jc w:val="center"/>
              <w:rPr>
                <w:rFonts w:hint="eastAsia"/>
              </w:rPr>
            </w:pPr>
            <w:r>
              <w:rPr>
                <w:rFonts w:hint="eastAsia"/>
              </w:rPr>
              <w:t>m+n</w:t>
            </w:r>
          </w:p>
        </w:tc>
        <w:tc>
          <w:tcPr>
            <w:tcW w:w="3685" w:type="dxa"/>
            <w:noWrap/>
            <w:vAlign w:val="center"/>
          </w:tcPr>
          <w:p>
            <w:pPr>
              <w:pStyle w:val="17"/>
              <w:bidi w:val="0"/>
              <w:jc w:val="center"/>
              <w:rPr>
                <w:rFonts w:hint="eastAsia"/>
              </w:rPr>
            </w:pPr>
            <w:r>
              <w:rPr>
                <w:rFonts w:hint="eastAsia"/>
              </w:rPr>
              <w:t>基本分m最高分值为21分，根据总业绩贡献大小给予0～21分区间分值。附加分n最高为9分，根据3份代表业绩的具体情况得出。</w:t>
            </w:r>
          </w:p>
          <w:p>
            <w:pPr>
              <w:pStyle w:val="17"/>
              <w:bidi w:val="0"/>
              <w:spacing w:line="240" w:lineRule="auto"/>
              <w:jc w:val="center"/>
              <w:rPr>
                <w:rFonts w:hint="eastAsia" w:eastAsia="仿宋_GB2312"/>
                <w:lang w:eastAsia="zh-CN"/>
              </w:rPr>
            </w:pPr>
            <w:r>
              <w:rPr>
                <w:rFonts w:hint="eastAsia" w:eastAsia="仿宋_GB2312"/>
                <w:lang w:eastAsia="zh-CN"/>
              </w:rPr>
              <w:drawing>
                <wp:inline distT="0" distB="0" distL="114300" distR="114300">
                  <wp:extent cx="2202815" cy="1360170"/>
                  <wp:effectExtent l="0" t="0" r="6985" b="11430"/>
                  <wp:docPr id="9" name="图片 9"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5"/>
                          <pic:cNvPicPr>
                            <a:picLocks noChangeAspect="1"/>
                          </pic:cNvPicPr>
                        </pic:nvPicPr>
                        <pic:blipFill>
                          <a:blip r:embed="rId7"/>
                          <a:stretch>
                            <a:fillRect/>
                          </a:stretch>
                        </pic:blipFill>
                        <pic:spPr>
                          <a:xfrm>
                            <a:off x="0" y="0"/>
                            <a:ext cx="2202815" cy="13601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restart"/>
            <w:noWrap w:val="0"/>
            <w:vAlign w:val="center"/>
          </w:tcPr>
          <w:p>
            <w:pPr>
              <w:pStyle w:val="17"/>
              <w:bidi w:val="0"/>
              <w:jc w:val="center"/>
              <w:rPr>
                <w:rFonts w:hint="eastAsia"/>
              </w:rPr>
            </w:pPr>
            <w:r>
              <w:rPr>
                <w:rFonts w:hint="eastAsia"/>
              </w:rPr>
              <w:t>企业现场安全管理业绩</w:t>
            </w:r>
          </w:p>
        </w:tc>
        <w:tc>
          <w:tcPr>
            <w:tcW w:w="1828" w:type="dxa"/>
            <w:vMerge w:val="restart"/>
            <w:noWrap w:val="0"/>
            <w:vAlign w:val="center"/>
          </w:tcPr>
          <w:p>
            <w:pPr>
              <w:pStyle w:val="17"/>
              <w:bidi w:val="0"/>
              <w:jc w:val="center"/>
              <w:rPr>
                <w:rFonts w:hint="eastAsia"/>
              </w:rPr>
            </w:pPr>
            <w:r>
              <w:rPr>
                <w:rFonts w:hint="eastAsia"/>
              </w:rPr>
              <w:t>开展企业安全生产技术管理工作，负责建立完整的安全生产管理体系，并持续改进。</w:t>
            </w:r>
          </w:p>
        </w:tc>
        <w:tc>
          <w:tcPr>
            <w:tcW w:w="1760" w:type="dxa"/>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rPr>
            </w:pPr>
            <w:r>
              <w:rPr>
                <w:rFonts w:hint="eastAsia"/>
              </w:rPr>
              <w:t>为主开展企业安全生产标准化持续运行工作，按规定完成复审并获得二级及以上达标证书。</w:t>
            </w:r>
          </w:p>
        </w:tc>
        <w:tc>
          <w:tcPr>
            <w:tcW w:w="850" w:type="dxa"/>
            <w:vMerge w:val="continue"/>
            <w:noWrap/>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22+n</w:t>
            </w:r>
          </w:p>
        </w:tc>
        <w:tc>
          <w:tcPr>
            <w:tcW w:w="3685" w:type="dxa"/>
            <w:vMerge w:val="restart"/>
            <w:noWrap/>
            <w:vAlign w:val="center"/>
          </w:tcPr>
          <w:p>
            <w:pPr>
              <w:pStyle w:val="17"/>
              <w:bidi w:val="0"/>
              <w:jc w:val="center"/>
              <w:rPr>
                <w:rFonts w:hint="eastAsia"/>
              </w:rPr>
            </w:pPr>
            <w:r>
              <w:rPr>
                <w:rFonts w:hint="eastAsia"/>
              </w:rPr>
              <w:t>附加分最高分为8分，n为标准化达标后持续运行年份。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vMerge w:val="continue"/>
            <w:noWrap w:val="0"/>
            <w:vAlign w:val="center"/>
          </w:tcPr>
          <w:p>
            <w:pPr>
              <w:pStyle w:val="17"/>
              <w:bidi w:val="0"/>
              <w:jc w:val="center"/>
              <w:rPr>
                <w:rFonts w:hint="eastAsia"/>
              </w:rPr>
            </w:pPr>
          </w:p>
        </w:tc>
        <w:tc>
          <w:tcPr>
            <w:tcW w:w="1760" w:type="dxa"/>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rPr>
            </w:pPr>
            <w:r>
              <w:rPr>
                <w:rFonts w:hint="eastAsia"/>
              </w:rPr>
              <w:t>为主开展企业安全生产标准化持续运行工作，按规定完成复审并获得三级达标证书。</w:t>
            </w: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16+n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vMerge w:val="continue"/>
            <w:noWrap w:val="0"/>
            <w:vAlign w:val="center"/>
          </w:tcPr>
          <w:p>
            <w:pPr>
              <w:pStyle w:val="17"/>
              <w:bidi w:val="0"/>
              <w:jc w:val="center"/>
              <w:rPr>
                <w:rFonts w:hint="eastAsia"/>
              </w:rPr>
            </w:pPr>
          </w:p>
        </w:tc>
        <w:tc>
          <w:tcPr>
            <w:tcW w:w="1760" w:type="dxa"/>
            <w:noWrap w:val="0"/>
            <w:vAlign w:val="center"/>
          </w:tcPr>
          <w:p>
            <w:pPr>
              <w:pStyle w:val="17"/>
              <w:keepNext w:val="0"/>
              <w:keepLines w:val="0"/>
              <w:pageBreakBefore w:val="0"/>
              <w:widowControl w:val="0"/>
              <w:kinsoku/>
              <w:wordWrap/>
              <w:overflowPunct/>
              <w:topLinePunct/>
              <w:autoSpaceDE/>
              <w:autoSpaceDN/>
              <w:bidi w:val="0"/>
              <w:adjustRightInd w:val="0"/>
              <w:snapToGrid w:val="0"/>
              <w:spacing w:line="300" w:lineRule="exact"/>
              <w:jc w:val="center"/>
              <w:textAlignment w:val="auto"/>
              <w:rPr>
                <w:rFonts w:hint="eastAsia"/>
                <w:lang w:eastAsia="zh-CN"/>
              </w:rPr>
            </w:pPr>
            <w:r>
              <w:rPr>
                <w:rFonts w:hint="eastAsia"/>
              </w:rPr>
              <w:t>开展企业（工程技术项目）安全生产技术管理工作，为主并持续运行企业安全生产标准化，或为主完成的安全技术改造工作经专家论证具有显著安全成效</w:t>
            </w:r>
            <w:r>
              <w:rPr>
                <w:rFonts w:hint="eastAsia"/>
                <w:lang w:eastAsia="zh-CN"/>
              </w:rPr>
              <w:t>。</w:t>
            </w: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10+n</w:t>
            </w:r>
          </w:p>
        </w:tc>
        <w:tc>
          <w:tcPr>
            <w:tcW w:w="3685" w:type="dxa"/>
            <w:noWrap w:val="0"/>
            <w:vAlign w:val="center"/>
          </w:tcPr>
          <w:p>
            <w:pPr>
              <w:pStyle w:val="17"/>
              <w:bidi w:val="0"/>
              <w:jc w:val="center"/>
              <w:rPr>
                <w:rFonts w:hint="eastAsia"/>
              </w:rPr>
            </w:pPr>
            <w:r>
              <w:rPr>
                <w:rFonts w:hint="eastAsia"/>
              </w:rPr>
              <w:t>附加分最高分为8分，n为主导开展企业安全技术管理工作（包括双重预防机制、安全标准化或ISO45001体系、工伤预防管理等），成绩优异，获得良好的社会效益，并持续运行的年份。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noWrap w:val="0"/>
            <w:vAlign w:val="center"/>
          </w:tcPr>
          <w:p>
            <w:pPr>
              <w:pStyle w:val="17"/>
              <w:bidi w:val="0"/>
              <w:jc w:val="center"/>
              <w:rPr>
                <w:rFonts w:hint="eastAsia"/>
              </w:rPr>
            </w:pPr>
            <w:r>
              <w:rPr>
                <w:rFonts w:hint="eastAsia"/>
              </w:rPr>
              <w:t>科研项目（5分）</w:t>
            </w:r>
          </w:p>
        </w:tc>
        <w:tc>
          <w:tcPr>
            <w:tcW w:w="1781" w:type="dxa"/>
            <w:noWrap w:val="0"/>
            <w:vAlign w:val="center"/>
          </w:tcPr>
          <w:p>
            <w:pPr>
              <w:pStyle w:val="17"/>
              <w:bidi w:val="0"/>
              <w:jc w:val="center"/>
              <w:rPr>
                <w:rFonts w:hint="eastAsia"/>
              </w:rPr>
            </w:pPr>
            <w:r>
              <w:rPr>
                <w:rFonts w:hint="eastAsia"/>
              </w:rPr>
              <w:t>县（市、区）级及以上科研项目</w:t>
            </w:r>
          </w:p>
        </w:tc>
        <w:tc>
          <w:tcPr>
            <w:tcW w:w="1828" w:type="dxa"/>
            <w:noWrap w:val="0"/>
            <w:vAlign w:val="center"/>
          </w:tcPr>
          <w:p>
            <w:pPr>
              <w:pStyle w:val="17"/>
              <w:bidi w:val="0"/>
              <w:jc w:val="center"/>
              <w:rPr>
                <w:rFonts w:hint="eastAsia"/>
              </w:rPr>
            </w:pPr>
            <w:r>
              <w:rPr>
                <w:rFonts w:hint="eastAsia"/>
              </w:rPr>
              <w:t>排名前三</w:t>
            </w:r>
          </w:p>
        </w:tc>
        <w:tc>
          <w:tcPr>
            <w:tcW w:w="1760" w:type="dxa"/>
            <w:noWrap w:val="0"/>
            <w:vAlign w:val="center"/>
          </w:tcPr>
          <w:p>
            <w:pPr>
              <w:pStyle w:val="17"/>
              <w:bidi w:val="0"/>
              <w:jc w:val="center"/>
              <w:rPr>
                <w:rFonts w:hint="eastAsia"/>
              </w:rPr>
            </w:pPr>
          </w:p>
        </w:tc>
        <w:tc>
          <w:tcPr>
            <w:tcW w:w="850" w:type="dxa"/>
            <w:noWrap w:val="0"/>
            <w:vAlign w:val="center"/>
          </w:tcPr>
          <w:p>
            <w:pPr>
              <w:pStyle w:val="17"/>
              <w:bidi w:val="0"/>
              <w:jc w:val="center"/>
              <w:rPr>
                <w:rFonts w:hint="eastAsia"/>
              </w:rPr>
            </w:pPr>
            <w:r>
              <w:rPr>
                <w:rFonts w:hint="eastAsia"/>
              </w:rPr>
              <w:t>5</w:t>
            </w:r>
          </w:p>
        </w:tc>
        <w:tc>
          <w:tcPr>
            <w:tcW w:w="1418" w:type="dxa"/>
            <w:noWrap/>
            <w:vAlign w:val="center"/>
          </w:tcPr>
          <w:p>
            <w:pPr>
              <w:pStyle w:val="17"/>
              <w:bidi w:val="0"/>
              <w:jc w:val="center"/>
              <w:rPr>
                <w:rFonts w:hint="eastAsia"/>
              </w:rPr>
            </w:pPr>
            <w:r>
              <w:rPr>
                <w:rFonts w:hint="eastAsia"/>
              </w:rPr>
              <w:t>3n</w:t>
            </w:r>
          </w:p>
        </w:tc>
        <w:tc>
          <w:tcPr>
            <w:tcW w:w="3685" w:type="dxa"/>
            <w:noWrap w:val="0"/>
            <w:vAlign w:val="center"/>
          </w:tcPr>
          <w:p>
            <w:pPr>
              <w:pStyle w:val="17"/>
              <w:bidi w:val="0"/>
              <w:jc w:val="center"/>
              <w:rPr>
                <w:rFonts w:hint="eastAsia"/>
              </w:rPr>
            </w:pPr>
            <w:r>
              <w:rPr>
                <w:rFonts w:hint="eastAsia"/>
              </w:rPr>
              <w:t>项目需经验收或鉴定；n指经专家认定数。不同项目分数可以累计，同一项目分获不同层级支持的，以最高级计分。主要考核项目的实用性、经济效益和社会效益及成果转化或进一步研究价值。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获奖情况（4分）</w:t>
            </w:r>
          </w:p>
        </w:tc>
        <w:tc>
          <w:tcPr>
            <w:tcW w:w="1781" w:type="dxa"/>
            <w:vMerge w:val="restart"/>
            <w:noWrap w:val="0"/>
            <w:vAlign w:val="center"/>
          </w:tcPr>
          <w:p>
            <w:pPr>
              <w:pStyle w:val="17"/>
              <w:bidi w:val="0"/>
              <w:jc w:val="center"/>
              <w:rPr>
                <w:rFonts w:hint="eastAsia"/>
              </w:rPr>
            </w:pPr>
            <w:r>
              <w:rPr>
                <w:rFonts w:hint="eastAsia"/>
              </w:rPr>
              <w:t>安全工程科技、工程方面奖项的主要参与者或所从事技术工作达区域内先进水平，取得良好社会和经济效益。</w:t>
            </w:r>
          </w:p>
        </w:tc>
        <w:tc>
          <w:tcPr>
            <w:tcW w:w="1828" w:type="dxa"/>
            <w:noWrap w:val="0"/>
            <w:vAlign w:val="center"/>
          </w:tcPr>
          <w:p>
            <w:pPr>
              <w:pStyle w:val="17"/>
              <w:bidi w:val="0"/>
              <w:jc w:val="center"/>
              <w:rPr>
                <w:rFonts w:hint="eastAsia"/>
              </w:rPr>
            </w:pPr>
            <w:r>
              <w:rPr>
                <w:rFonts w:hint="eastAsia"/>
              </w:rPr>
              <w:t>省级及以上</w:t>
            </w:r>
          </w:p>
        </w:tc>
        <w:tc>
          <w:tcPr>
            <w:tcW w:w="1760" w:type="dxa"/>
            <w:noWrap/>
            <w:vAlign w:val="center"/>
          </w:tcPr>
          <w:p>
            <w:pPr>
              <w:pStyle w:val="17"/>
              <w:bidi w:val="0"/>
              <w:jc w:val="center"/>
              <w:rPr>
                <w:rFonts w:hint="eastAsia"/>
              </w:rPr>
            </w:pPr>
          </w:p>
        </w:tc>
        <w:tc>
          <w:tcPr>
            <w:tcW w:w="850" w:type="dxa"/>
            <w:vMerge w:val="restart"/>
            <w:noWrap w:val="0"/>
            <w:vAlign w:val="center"/>
          </w:tcPr>
          <w:p>
            <w:pPr>
              <w:pStyle w:val="17"/>
              <w:bidi w:val="0"/>
              <w:jc w:val="center"/>
              <w:rPr>
                <w:rFonts w:hint="eastAsia"/>
              </w:rPr>
            </w:pPr>
            <w:r>
              <w:rPr>
                <w:rFonts w:hint="eastAsia"/>
              </w:rPr>
              <w:t>4</w:t>
            </w:r>
          </w:p>
        </w:tc>
        <w:tc>
          <w:tcPr>
            <w:tcW w:w="1418" w:type="dxa"/>
            <w:noWrap/>
            <w:vAlign w:val="center"/>
          </w:tcPr>
          <w:p>
            <w:pPr>
              <w:pStyle w:val="17"/>
              <w:bidi w:val="0"/>
              <w:jc w:val="center"/>
              <w:rPr>
                <w:rFonts w:hint="eastAsia"/>
              </w:rPr>
            </w:pPr>
            <w:r>
              <w:rPr>
                <w:rFonts w:hint="eastAsia"/>
              </w:rPr>
              <w:t>4</w:t>
            </w:r>
          </w:p>
        </w:tc>
        <w:tc>
          <w:tcPr>
            <w:tcW w:w="3685" w:type="dxa"/>
            <w:vMerge w:val="restart"/>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0"/>
            <w:vAlign w:val="center"/>
          </w:tcPr>
          <w:p>
            <w:pPr>
              <w:pStyle w:val="17"/>
              <w:bidi w:val="0"/>
              <w:jc w:val="center"/>
              <w:rPr>
                <w:rFonts w:hint="eastAsia"/>
              </w:rPr>
            </w:pPr>
            <w:r>
              <w:rPr>
                <w:rFonts w:hint="eastAsia"/>
              </w:rPr>
              <w:t>市级</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3</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0"/>
            <w:vAlign w:val="center"/>
          </w:tcPr>
          <w:p>
            <w:pPr>
              <w:pStyle w:val="17"/>
              <w:bidi w:val="0"/>
              <w:jc w:val="center"/>
              <w:rPr>
                <w:rFonts w:hint="eastAsia"/>
              </w:rPr>
            </w:pPr>
            <w:r>
              <w:rPr>
                <w:rFonts w:hint="eastAsia"/>
              </w:rPr>
              <w:t>区县级</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2</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生产安全事故调查（2分）</w:t>
            </w:r>
          </w:p>
        </w:tc>
        <w:tc>
          <w:tcPr>
            <w:tcW w:w="1781" w:type="dxa"/>
            <w:vMerge w:val="restart"/>
            <w:noWrap w:val="0"/>
            <w:vAlign w:val="center"/>
          </w:tcPr>
          <w:p>
            <w:pPr>
              <w:pStyle w:val="17"/>
              <w:bidi w:val="0"/>
              <w:jc w:val="center"/>
              <w:rPr>
                <w:rFonts w:hint="eastAsia"/>
              </w:rPr>
            </w:pPr>
            <w:r>
              <w:rPr>
                <w:rFonts w:hint="eastAsia"/>
              </w:rPr>
              <w:t>生产安全事故调查组成员，能够客观、公正分析事故原因。</w:t>
            </w:r>
          </w:p>
        </w:tc>
        <w:tc>
          <w:tcPr>
            <w:tcW w:w="1828" w:type="dxa"/>
            <w:noWrap w:val="0"/>
            <w:vAlign w:val="center"/>
          </w:tcPr>
          <w:p>
            <w:pPr>
              <w:pStyle w:val="17"/>
              <w:bidi w:val="0"/>
              <w:jc w:val="center"/>
              <w:rPr>
                <w:rFonts w:hint="eastAsia"/>
              </w:rPr>
            </w:pPr>
            <w:r>
              <w:rPr>
                <w:rFonts w:hint="eastAsia"/>
              </w:rPr>
              <w:t>省级及以上</w:t>
            </w:r>
          </w:p>
        </w:tc>
        <w:tc>
          <w:tcPr>
            <w:tcW w:w="1760" w:type="dxa"/>
            <w:noWrap w:val="0"/>
            <w:vAlign w:val="center"/>
          </w:tcPr>
          <w:p>
            <w:pPr>
              <w:pStyle w:val="17"/>
              <w:bidi w:val="0"/>
              <w:jc w:val="center"/>
              <w:rPr>
                <w:rFonts w:hint="eastAsia"/>
              </w:rPr>
            </w:pPr>
          </w:p>
        </w:tc>
        <w:tc>
          <w:tcPr>
            <w:tcW w:w="850" w:type="dxa"/>
            <w:vMerge w:val="restart"/>
            <w:noWrap/>
            <w:vAlign w:val="center"/>
          </w:tcPr>
          <w:p>
            <w:pPr>
              <w:pStyle w:val="17"/>
              <w:bidi w:val="0"/>
              <w:jc w:val="center"/>
              <w:rPr>
                <w:rFonts w:hint="eastAsia"/>
              </w:rPr>
            </w:pPr>
            <w:r>
              <w:rPr>
                <w:rFonts w:hint="eastAsia"/>
              </w:rPr>
              <w:t>2</w:t>
            </w:r>
          </w:p>
        </w:tc>
        <w:tc>
          <w:tcPr>
            <w:tcW w:w="1418" w:type="dxa"/>
            <w:noWrap/>
            <w:vAlign w:val="center"/>
          </w:tcPr>
          <w:p>
            <w:pPr>
              <w:pStyle w:val="17"/>
              <w:bidi w:val="0"/>
              <w:jc w:val="center"/>
              <w:rPr>
                <w:rFonts w:hint="eastAsia"/>
              </w:rPr>
            </w:pPr>
            <w:r>
              <w:rPr>
                <w:rFonts w:hint="eastAsia"/>
              </w:rPr>
              <w:t>2</w:t>
            </w:r>
          </w:p>
        </w:tc>
        <w:tc>
          <w:tcPr>
            <w:tcW w:w="3685" w:type="dxa"/>
            <w:vMerge w:val="restart"/>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ign w:val="center"/>
          </w:tcPr>
          <w:p>
            <w:pPr>
              <w:pStyle w:val="17"/>
              <w:bidi w:val="0"/>
              <w:jc w:val="center"/>
              <w:rPr>
                <w:rFonts w:hint="eastAsia"/>
              </w:rPr>
            </w:pPr>
          </w:p>
        </w:tc>
        <w:tc>
          <w:tcPr>
            <w:tcW w:w="1828" w:type="dxa"/>
            <w:noWrap w:val="0"/>
            <w:vAlign w:val="center"/>
          </w:tcPr>
          <w:p>
            <w:pPr>
              <w:pStyle w:val="17"/>
              <w:bidi w:val="0"/>
              <w:jc w:val="center"/>
              <w:rPr>
                <w:rFonts w:hint="eastAsia"/>
              </w:rPr>
            </w:pPr>
            <w:r>
              <w:rPr>
                <w:rFonts w:hint="eastAsia"/>
              </w:rPr>
              <w:t>市级</w:t>
            </w:r>
          </w:p>
        </w:tc>
        <w:tc>
          <w:tcPr>
            <w:tcW w:w="1760" w:type="dxa"/>
            <w:noWrap w:val="0"/>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1</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ign w:val="center"/>
          </w:tcPr>
          <w:p>
            <w:pPr>
              <w:pStyle w:val="17"/>
              <w:bidi w:val="0"/>
              <w:jc w:val="center"/>
              <w:rPr>
                <w:rFonts w:hint="eastAsia"/>
              </w:rPr>
            </w:pPr>
          </w:p>
        </w:tc>
        <w:tc>
          <w:tcPr>
            <w:tcW w:w="1828" w:type="dxa"/>
            <w:noWrap w:val="0"/>
            <w:vAlign w:val="center"/>
          </w:tcPr>
          <w:p>
            <w:pPr>
              <w:pStyle w:val="17"/>
              <w:bidi w:val="0"/>
              <w:jc w:val="center"/>
              <w:rPr>
                <w:rFonts w:hint="eastAsia"/>
              </w:rPr>
            </w:pPr>
            <w:r>
              <w:rPr>
                <w:rFonts w:hint="eastAsia"/>
              </w:rPr>
              <w:t>区县级</w:t>
            </w:r>
          </w:p>
        </w:tc>
        <w:tc>
          <w:tcPr>
            <w:tcW w:w="1760" w:type="dxa"/>
            <w:noWrap w:val="0"/>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0.5</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专利及软件著作权（3分）</w:t>
            </w:r>
          </w:p>
        </w:tc>
        <w:tc>
          <w:tcPr>
            <w:tcW w:w="1781" w:type="dxa"/>
            <w:vMerge w:val="restart"/>
            <w:noWrap w:val="0"/>
            <w:vAlign w:val="center"/>
          </w:tcPr>
          <w:p>
            <w:pPr>
              <w:pStyle w:val="17"/>
              <w:bidi w:val="0"/>
              <w:jc w:val="center"/>
              <w:rPr>
                <w:rFonts w:hint="eastAsia"/>
              </w:rPr>
            </w:pPr>
            <w:r>
              <w:rPr>
                <w:rFonts w:hint="eastAsia"/>
              </w:rPr>
              <w:t>参与安全工程的科技产品开发，并取得专利认证。</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第一发明人</w:t>
            </w:r>
          </w:p>
        </w:tc>
        <w:tc>
          <w:tcPr>
            <w:tcW w:w="850" w:type="dxa"/>
            <w:noWrap/>
            <w:vAlign w:val="center"/>
          </w:tcPr>
          <w:p>
            <w:pPr>
              <w:pStyle w:val="17"/>
              <w:bidi w:val="0"/>
              <w:jc w:val="center"/>
              <w:rPr>
                <w:rFonts w:hint="eastAsia"/>
              </w:rPr>
            </w:pPr>
            <w:r>
              <w:rPr>
                <w:rFonts w:hint="eastAsia"/>
              </w:rPr>
              <w:t>3</w:t>
            </w:r>
          </w:p>
        </w:tc>
        <w:tc>
          <w:tcPr>
            <w:tcW w:w="1418" w:type="dxa"/>
            <w:noWrap/>
            <w:vAlign w:val="center"/>
          </w:tcPr>
          <w:p>
            <w:pPr>
              <w:pStyle w:val="17"/>
              <w:bidi w:val="0"/>
              <w:jc w:val="center"/>
              <w:rPr>
                <w:rFonts w:hint="eastAsia"/>
              </w:rPr>
            </w:pPr>
            <w:r>
              <w:rPr>
                <w:rFonts w:hint="eastAsia"/>
              </w:rPr>
              <w:t>3</w:t>
            </w:r>
          </w:p>
        </w:tc>
        <w:tc>
          <w:tcPr>
            <w:tcW w:w="3685" w:type="dxa"/>
            <w:noWrap w:val="0"/>
            <w:vAlign w:val="center"/>
          </w:tcPr>
          <w:p>
            <w:pPr>
              <w:pStyle w:val="17"/>
              <w:bidi w:val="0"/>
              <w:jc w:val="center"/>
              <w:rPr>
                <w:rFonts w:hint="eastAsia"/>
              </w:rPr>
            </w:pPr>
            <w:r>
              <w:rPr>
                <w:rFonts w:hint="eastAsia"/>
              </w:rPr>
              <w:t>经专家认可产生实际效益的专利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第二、三发明人</w:t>
            </w:r>
          </w:p>
        </w:tc>
        <w:tc>
          <w:tcPr>
            <w:tcW w:w="850" w:type="dxa"/>
            <w:noWrap/>
            <w:vAlign w:val="center"/>
          </w:tcPr>
          <w:p>
            <w:pPr>
              <w:pStyle w:val="17"/>
              <w:bidi w:val="0"/>
              <w:jc w:val="center"/>
              <w:rPr>
                <w:rFonts w:hint="eastAsia"/>
              </w:rPr>
            </w:pPr>
            <w:r>
              <w:rPr>
                <w:rFonts w:hint="eastAsia"/>
              </w:rPr>
              <w:t>2</w:t>
            </w:r>
          </w:p>
        </w:tc>
        <w:tc>
          <w:tcPr>
            <w:tcW w:w="1418" w:type="dxa"/>
            <w:noWrap/>
            <w:vAlign w:val="center"/>
          </w:tcPr>
          <w:p>
            <w:pPr>
              <w:pStyle w:val="17"/>
              <w:bidi w:val="0"/>
              <w:jc w:val="center"/>
              <w:rPr>
                <w:rFonts w:hint="eastAsia"/>
              </w:rPr>
            </w:pPr>
            <w:r>
              <w:rPr>
                <w:rFonts w:hint="eastAsia"/>
              </w:rPr>
              <w:t>2</w:t>
            </w:r>
          </w:p>
        </w:tc>
        <w:tc>
          <w:tcPr>
            <w:tcW w:w="3685" w:type="dxa"/>
            <w:vMerge w:val="restart"/>
            <w:noWrap w:val="0"/>
            <w:vAlign w:val="center"/>
          </w:tcPr>
          <w:p>
            <w:pPr>
              <w:pStyle w:val="17"/>
              <w:bidi w:val="0"/>
              <w:jc w:val="center"/>
              <w:rPr>
                <w:rFonts w:hint="eastAsia"/>
              </w:rPr>
            </w:pPr>
            <w:r>
              <w:rPr>
                <w:rFonts w:hint="eastAsia"/>
              </w:rPr>
              <w:t>经专家认可产生实际效益的专利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第四、五发明人</w:t>
            </w:r>
          </w:p>
        </w:tc>
        <w:tc>
          <w:tcPr>
            <w:tcW w:w="850" w:type="dxa"/>
            <w:noWrap/>
            <w:vAlign w:val="center"/>
          </w:tcPr>
          <w:p>
            <w:pPr>
              <w:pStyle w:val="17"/>
              <w:bidi w:val="0"/>
              <w:jc w:val="center"/>
              <w:rPr>
                <w:rFonts w:hint="eastAsia"/>
              </w:rPr>
            </w:pPr>
            <w:r>
              <w:rPr>
                <w:rFonts w:hint="eastAsia"/>
              </w:rPr>
              <w:t>1</w:t>
            </w:r>
          </w:p>
        </w:tc>
        <w:tc>
          <w:tcPr>
            <w:tcW w:w="1418" w:type="dxa"/>
            <w:noWrap/>
            <w:vAlign w:val="center"/>
          </w:tcPr>
          <w:p>
            <w:pPr>
              <w:pStyle w:val="17"/>
              <w:bidi w:val="0"/>
              <w:jc w:val="center"/>
              <w:rPr>
                <w:rFonts w:hint="eastAsia"/>
              </w:rPr>
            </w:pPr>
            <w:r>
              <w:rPr>
                <w:rFonts w:hint="eastAsia"/>
              </w:rPr>
              <w:t>1</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标准/规程/规范（3分）</w:t>
            </w:r>
          </w:p>
        </w:tc>
        <w:tc>
          <w:tcPr>
            <w:tcW w:w="1781" w:type="dxa"/>
            <w:noWrap w:val="0"/>
            <w:vAlign w:val="center"/>
          </w:tcPr>
          <w:p>
            <w:pPr>
              <w:pStyle w:val="17"/>
              <w:bidi w:val="0"/>
              <w:jc w:val="center"/>
              <w:rPr>
                <w:rFonts w:hint="eastAsia"/>
              </w:rPr>
            </w:pPr>
            <w:r>
              <w:rPr>
                <w:rFonts w:hint="eastAsia"/>
              </w:rPr>
              <w:t>安全工程（最低要求：市级或团体）</w:t>
            </w:r>
          </w:p>
        </w:tc>
        <w:tc>
          <w:tcPr>
            <w:tcW w:w="1828" w:type="dxa"/>
            <w:noWrap/>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参与制定者</w:t>
            </w:r>
          </w:p>
        </w:tc>
        <w:tc>
          <w:tcPr>
            <w:tcW w:w="850" w:type="dxa"/>
            <w:noWrap/>
            <w:vAlign w:val="center"/>
          </w:tcPr>
          <w:p>
            <w:pPr>
              <w:pStyle w:val="17"/>
              <w:bidi w:val="0"/>
              <w:jc w:val="center"/>
              <w:rPr>
                <w:rFonts w:hint="eastAsia"/>
              </w:rPr>
            </w:pPr>
            <w:r>
              <w:rPr>
                <w:rFonts w:hint="eastAsia"/>
              </w:rPr>
              <w:t>3</w:t>
            </w:r>
          </w:p>
        </w:tc>
        <w:tc>
          <w:tcPr>
            <w:tcW w:w="1418" w:type="dxa"/>
            <w:noWrap/>
            <w:vAlign w:val="center"/>
          </w:tcPr>
          <w:p>
            <w:pPr>
              <w:pStyle w:val="17"/>
              <w:bidi w:val="0"/>
              <w:jc w:val="center"/>
              <w:rPr>
                <w:rFonts w:hint="eastAsia"/>
              </w:rPr>
            </w:pPr>
            <w:r>
              <w:rPr>
                <w:rFonts w:hint="eastAsia"/>
              </w:rPr>
              <w:t>3</w:t>
            </w:r>
          </w:p>
        </w:tc>
        <w:tc>
          <w:tcPr>
            <w:tcW w:w="3685" w:type="dxa"/>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restart"/>
            <w:noWrap w:val="0"/>
            <w:vAlign w:val="center"/>
          </w:tcPr>
          <w:p>
            <w:pPr>
              <w:pStyle w:val="17"/>
              <w:bidi w:val="0"/>
              <w:jc w:val="center"/>
              <w:rPr>
                <w:rFonts w:hint="eastAsia"/>
              </w:rPr>
            </w:pPr>
            <w:r>
              <w:rPr>
                <w:rFonts w:hint="eastAsia"/>
              </w:rPr>
              <w:t>企业</w:t>
            </w:r>
          </w:p>
        </w:tc>
        <w:tc>
          <w:tcPr>
            <w:tcW w:w="1828" w:type="dxa"/>
            <w:noWrap/>
            <w:vAlign w:val="center"/>
          </w:tcPr>
          <w:p>
            <w:pPr>
              <w:pStyle w:val="17"/>
              <w:bidi w:val="0"/>
              <w:jc w:val="center"/>
              <w:rPr>
                <w:rFonts w:hint="eastAsia"/>
              </w:rPr>
            </w:pPr>
            <w:r>
              <w:rPr>
                <w:rFonts w:hint="eastAsia"/>
              </w:rPr>
              <w:t>第一</w:t>
            </w:r>
          </w:p>
        </w:tc>
        <w:tc>
          <w:tcPr>
            <w:tcW w:w="1760" w:type="dxa"/>
            <w:noWrap/>
            <w:vAlign w:val="center"/>
          </w:tcPr>
          <w:p>
            <w:pPr>
              <w:pStyle w:val="17"/>
              <w:bidi w:val="0"/>
              <w:jc w:val="center"/>
              <w:rPr>
                <w:rFonts w:hint="eastAsia"/>
              </w:rPr>
            </w:pPr>
          </w:p>
        </w:tc>
        <w:tc>
          <w:tcPr>
            <w:tcW w:w="850" w:type="dxa"/>
            <w:vMerge w:val="restart"/>
            <w:noWrap/>
            <w:vAlign w:val="center"/>
          </w:tcPr>
          <w:p>
            <w:pPr>
              <w:pStyle w:val="17"/>
              <w:bidi w:val="0"/>
              <w:jc w:val="center"/>
              <w:rPr>
                <w:rFonts w:hint="eastAsia"/>
              </w:rPr>
            </w:pPr>
            <w:r>
              <w:rPr>
                <w:rFonts w:hint="eastAsia"/>
              </w:rPr>
              <w:t>3</w:t>
            </w:r>
          </w:p>
        </w:tc>
        <w:tc>
          <w:tcPr>
            <w:tcW w:w="1418" w:type="dxa"/>
            <w:noWrap/>
            <w:vAlign w:val="center"/>
          </w:tcPr>
          <w:p>
            <w:pPr>
              <w:pStyle w:val="17"/>
              <w:bidi w:val="0"/>
              <w:jc w:val="center"/>
              <w:rPr>
                <w:rFonts w:hint="eastAsia"/>
              </w:rPr>
            </w:pPr>
            <w:r>
              <w:rPr>
                <w:rFonts w:hint="eastAsia"/>
              </w:rPr>
              <w:t>n</w:t>
            </w:r>
          </w:p>
        </w:tc>
        <w:tc>
          <w:tcPr>
            <w:tcW w:w="3685" w:type="dxa"/>
            <w:vMerge w:val="restart"/>
            <w:noWrap w:val="0"/>
            <w:vAlign w:val="center"/>
          </w:tcPr>
          <w:p>
            <w:pPr>
              <w:pStyle w:val="17"/>
              <w:bidi w:val="0"/>
              <w:jc w:val="center"/>
              <w:rPr>
                <w:rFonts w:hint="eastAsia"/>
              </w:rPr>
            </w:pPr>
            <w:r>
              <w:rPr>
                <w:rFonts w:hint="eastAsia"/>
              </w:rPr>
              <w:t>企业标准应经过市场监管部门备案，n为经专家认定的数。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vMerge w:val="continue"/>
            <w:noWrap w:val="0"/>
            <w:vAlign w:val="center"/>
          </w:tcPr>
          <w:p>
            <w:pPr>
              <w:pStyle w:val="17"/>
              <w:bidi w:val="0"/>
              <w:jc w:val="center"/>
              <w:rPr>
                <w:rFonts w:hint="eastAsia"/>
              </w:rPr>
            </w:pPr>
          </w:p>
        </w:tc>
        <w:tc>
          <w:tcPr>
            <w:tcW w:w="1828" w:type="dxa"/>
            <w:noWrap/>
            <w:vAlign w:val="center"/>
          </w:tcPr>
          <w:p>
            <w:pPr>
              <w:pStyle w:val="17"/>
              <w:bidi w:val="0"/>
              <w:jc w:val="center"/>
              <w:rPr>
                <w:rFonts w:hint="eastAsia"/>
              </w:rPr>
            </w:pPr>
            <w:r>
              <w:rPr>
                <w:rFonts w:hint="eastAsia"/>
              </w:rPr>
              <w:t>前三</w:t>
            </w:r>
          </w:p>
        </w:tc>
        <w:tc>
          <w:tcPr>
            <w:tcW w:w="1760" w:type="dxa"/>
            <w:noWrap/>
            <w:vAlign w:val="center"/>
          </w:tcPr>
          <w:p>
            <w:pPr>
              <w:pStyle w:val="17"/>
              <w:bidi w:val="0"/>
              <w:jc w:val="center"/>
              <w:rPr>
                <w:rFonts w:hint="eastAsia"/>
              </w:rPr>
            </w:pP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0.5n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restart"/>
            <w:noWrap w:val="0"/>
            <w:vAlign w:val="center"/>
          </w:tcPr>
          <w:p>
            <w:pPr>
              <w:pStyle w:val="17"/>
              <w:bidi w:val="0"/>
              <w:jc w:val="center"/>
              <w:rPr>
                <w:rFonts w:hint="eastAsia"/>
              </w:rPr>
            </w:pPr>
            <w:r>
              <w:rPr>
                <w:rFonts w:hint="eastAsia"/>
              </w:rPr>
              <w:t>论文著作（3分）</w:t>
            </w:r>
          </w:p>
        </w:tc>
        <w:tc>
          <w:tcPr>
            <w:tcW w:w="1781" w:type="dxa"/>
            <w:noWrap w:val="0"/>
            <w:vAlign w:val="center"/>
          </w:tcPr>
          <w:p>
            <w:pPr>
              <w:pStyle w:val="17"/>
              <w:bidi w:val="0"/>
              <w:jc w:val="center"/>
              <w:rPr>
                <w:rFonts w:hint="eastAsia"/>
              </w:rPr>
            </w:pPr>
            <w:r>
              <w:rPr>
                <w:rFonts w:hint="eastAsia"/>
              </w:rPr>
              <w:t>编著、著作、教材、译著</w:t>
            </w:r>
          </w:p>
        </w:tc>
        <w:tc>
          <w:tcPr>
            <w:tcW w:w="1828" w:type="dxa"/>
            <w:noWrap w:val="0"/>
            <w:vAlign w:val="center"/>
          </w:tcPr>
          <w:p>
            <w:pPr>
              <w:pStyle w:val="17"/>
              <w:bidi w:val="0"/>
              <w:jc w:val="center"/>
              <w:rPr>
                <w:rFonts w:hint="eastAsia"/>
              </w:rPr>
            </w:pPr>
            <w:r>
              <w:rPr>
                <w:rFonts w:hint="eastAsia"/>
              </w:rPr>
              <w:t>专著</w:t>
            </w:r>
          </w:p>
        </w:tc>
        <w:tc>
          <w:tcPr>
            <w:tcW w:w="1760" w:type="dxa"/>
            <w:noWrap/>
            <w:vAlign w:val="center"/>
          </w:tcPr>
          <w:p>
            <w:pPr>
              <w:pStyle w:val="17"/>
              <w:bidi w:val="0"/>
              <w:jc w:val="center"/>
              <w:rPr>
                <w:rFonts w:hint="eastAsia"/>
              </w:rPr>
            </w:pPr>
            <w:r>
              <w:rPr>
                <w:rFonts w:hint="eastAsia"/>
              </w:rPr>
              <w:t>参与编写</w:t>
            </w:r>
          </w:p>
        </w:tc>
        <w:tc>
          <w:tcPr>
            <w:tcW w:w="850" w:type="dxa"/>
            <w:vMerge w:val="restart"/>
            <w:noWrap/>
            <w:vAlign w:val="center"/>
          </w:tcPr>
          <w:p>
            <w:pPr>
              <w:pStyle w:val="17"/>
              <w:bidi w:val="0"/>
              <w:jc w:val="center"/>
              <w:rPr>
                <w:rFonts w:hint="eastAsia"/>
              </w:rPr>
            </w:pPr>
            <w:r>
              <w:rPr>
                <w:rFonts w:hint="eastAsia"/>
              </w:rPr>
              <w:t>3</w:t>
            </w:r>
          </w:p>
        </w:tc>
        <w:tc>
          <w:tcPr>
            <w:tcW w:w="1418" w:type="dxa"/>
            <w:noWrap/>
            <w:vAlign w:val="center"/>
          </w:tcPr>
          <w:p>
            <w:pPr>
              <w:pStyle w:val="17"/>
              <w:bidi w:val="0"/>
              <w:jc w:val="center"/>
              <w:rPr>
                <w:rFonts w:hint="eastAsia"/>
              </w:rPr>
            </w:pPr>
            <w:r>
              <w:rPr>
                <w:rFonts w:hint="eastAsia"/>
              </w:rPr>
              <w:t>3</w:t>
            </w:r>
          </w:p>
        </w:tc>
        <w:tc>
          <w:tcPr>
            <w:tcW w:w="3685" w:type="dxa"/>
            <w:vMerge w:val="restart"/>
            <w:noWrap w:val="0"/>
            <w:vAlign w:val="center"/>
          </w:tcPr>
          <w:p>
            <w:pPr>
              <w:pStyle w:val="17"/>
              <w:bidi w:val="0"/>
              <w:jc w:val="center"/>
              <w:rPr>
                <w:rFonts w:hint="eastAsia"/>
              </w:rPr>
            </w:pPr>
            <w:r>
              <w:rPr>
                <w:rFonts w:hint="eastAsia"/>
              </w:rPr>
              <w:t>指取得当前职称后工作期间发表的论文、专著，n为经专家认定的数。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noWrap w:val="0"/>
            <w:vAlign w:val="center"/>
          </w:tcPr>
          <w:p>
            <w:pPr>
              <w:pStyle w:val="17"/>
              <w:bidi w:val="0"/>
              <w:jc w:val="center"/>
              <w:rPr>
                <w:rFonts w:hint="eastAsia"/>
              </w:rPr>
            </w:pPr>
            <w:r>
              <w:rPr>
                <w:rFonts w:hint="eastAsia"/>
              </w:rPr>
              <w:t>SCI、EI、ISTP</w:t>
            </w:r>
          </w:p>
        </w:tc>
        <w:tc>
          <w:tcPr>
            <w:tcW w:w="1828" w:type="dxa"/>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前五名或通讯作者</w:t>
            </w:r>
          </w:p>
        </w:tc>
        <w:tc>
          <w:tcPr>
            <w:tcW w:w="850" w:type="dxa"/>
            <w:vMerge w:val="continue"/>
            <w:noWrap w:val="0"/>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3</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noWrap w:val="0"/>
            <w:vAlign w:val="center"/>
          </w:tcPr>
          <w:p>
            <w:pPr>
              <w:pStyle w:val="17"/>
              <w:bidi w:val="0"/>
              <w:jc w:val="center"/>
              <w:rPr>
                <w:rFonts w:hint="eastAsia"/>
              </w:rPr>
            </w:pPr>
            <w:r>
              <w:rPr>
                <w:rFonts w:hint="eastAsia"/>
              </w:rPr>
              <w:t>核心期刊*</w:t>
            </w:r>
          </w:p>
        </w:tc>
        <w:tc>
          <w:tcPr>
            <w:tcW w:w="1828" w:type="dxa"/>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r>
              <w:rPr>
                <w:rFonts w:hint="eastAsia"/>
              </w:rPr>
              <w:t>前三名或通讯作者</w:t>
            </w:r>
          </w:p>
        </w:tc>
        <w:tc>
          <w:tcPr>
            <w:tcW w:w="850" w:type="dxa"/>
            <w:vMerge w:val="continue"/>
            <w:noWrap/>
            <w:vAlign w:val="center"/>
          </w:tcPr>
          <w:p>
            <w:pPr>
              <w:pStyle w:val="17"/>
              <w:bidi w:val="0"/>
              <w:jc w:val="center"/>
              <w:rPr>
                <w:rFonts w:hint="eastAsia"/>
              </w:rPr>
            </w:pPr>
          </w:p>
        </w:tc>
        <w:tc>
          <w:tcPr>
            <w:tcW w:w="1418" w:type="dxa"/>
            <w:noWrap/>
            <w:vAlign w:val="center"/>
          </w:tcPr>
          <w:p>
            <w:pPr>
              <w:pStyle w:val="17"/>
              <w:bidi w:val="0"/>
              <w:jc w:val="center"/>
              <w:rPr>
                <w:rFonts w:hint="eastAsia"/>
              </w:rPr>
            </w:pPr>
            <w:r>
              <w:rPr>
                <w:rFonts w:hint="eastAsia"/>
              </w:rPr>
              <w:t>2n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1" w:type="dxa"/>
            <w:vMerge w:val="continue"/>
            <w:noWrap w:val="0"/>
            <w:vAlign w:val="center"/>
          </w:tcPr>
          <w:p>
            <w:pPr>
              <w:pStyle w:val="17"/>
              <w:bidi w:val="0"/>
              <w:jc w:val="center"/>
              <w:rPr>
                <w:rFonts w:hint="eastAsia"/>
              </w:rPr>
            </w:pPr>
          </w:p>
        </w:tc>
        <w:tc>
          <w:tcPr>
            <w:tcW w:w="1395" w:type="dxa"/>
            <w:vMerge w:val="continue"/>
            <w:noWrap w:val="0"/>
            <w:vAlign w:val="center"/>
          </w:tcPr>
          <w:p>
            <w:pPr>
              <w:pStyle w:val="17"/>
              <w:bidi w:val="0"/>
              <w:jc w:val="center"/>
              <w:rPr>
                <w:rFonts w:hint="eastAsia"/>
              </w:rPr>
            </w:pPr>
          </w:p>
        </w:tc>
        <w:tc>
          <w:tcPr>
            <w:tcW w:w="1781" w:type="dxa"/>
            <w:noWrap w:val="0"/>
            <w:vAlign w:val="center"/>
          </w:tcPr>
          <w:p>
            <w:pPr>
              <w:pStyle w:val="17"/>
              <w:bidi w:val="0"/>
              <w:jc w:val="center"/>
              <w:rPr>
                <w:rFonts w:hint="eastAsia"/>
              </w:rPr>
            </w:pPr>
            <w:r>
              <w:rPr>
                <w:rFonts w:hint="eastAsia"/>
              </w:rPr>
              <w:t>公开发表的学术期刊</w:t>
            </w:r>
          </w:p>
        </w:tc>
        <w:tc>
          <w:tcPr>
            <w:tcW w:w="1828" w:type="dxa"/>
            <w:noWrap w:val="0"/>
            <w:vAlign w:val="center"/>
          </w:tcPr>
          <w:p>
            <w:pPr>
              <w:pStyle w:val="17"/>
              <w:bidi w:val="0"/>
              <w:jc w:val="center"/>
              <w:rPr>
                <w:rFonts w:hint="eastAsia"/>
              </w:rPr>
            </w:pPr>
          </w:p>
        </w:tc>
        <w:tc>
          <w:tcPr>
            <w:tcW w:w="1760" w:type="dxa"/>
            <w:noWrap/>
            <w:vAlign w:val="center"/>
          </w:tcPr>
          <w:p>
            <w:pPr>
              <w:pStyle w:val="17"/>
              <w:bidi w:val="0"/>
              <w:jc w:val="center"/>
              <w:rPr>
                <w:rFonts w:hint="eastAsia"/>
              </w:rPr>
            </w:pPr>
          </w:p>
        </w:tc>
        <w:tc>
          <w:tcPr>
            <w:tcW w:w="850" w:type="dxa"/>
            <w:noWrap/>
            <w:vAlign w:val="center"/>
          </w:tcPr>
          <w:p>
            <w:pPr>
              <w:pStyle w:val="17"/>
              <w:bidi w:val="0"/>
              <w:jc w:val="center"/>
              <w:rPr>
                <w:rFonts w:hint="eastAsia"/>
              </w:rPr>
            </w:pPr>
            <w:r>
              <w:rPr>
                <w:rFonts w:hint="eastAsia"/>
              </w:rPr>
              <w:t>2</w:t>
            </w:r>
          </w:p>
        </w:tc>
        <w:tc>
          <w:tcPr>
            <w:tcW w:w="1418" w:type="dxa"/>
            <w:noWrap/>
            <w:vAlign w:val="center"/>
          </w:tcPr>
          <w:p>
            <w:pPr>
              <w:pStyle w:val="17"/>
              <w:bidi w:val="0"/>
              <w:jc w:val="center"/>
              <w:rPr>
                <w:rFonts w:hint="eastAsia"/>
              </w:rPr>
            </w:pPr>
            <w:r>
              <w:rPr>
                <w:rFonts w:hint="eastAsia"/>
              </w:rPr>
              <w:t>0.5n</w:t>
            </w:r>
          </w:p>
        </w:tc>
        <w:tc>
          <w:tcPr>
            <w:tcW w:w="3685" w:type="dxa"/>
            <w:vMerge w:val="continue"/>
            <w:noWrap w:val="0"/>
            <w:vAlign w:val="center"/>
          </w:tcPr>
          <w:p>
            <w:pPr>
              <w:pStyle w:val="17"/>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08" w:type="dxa"/>
            <w:gridSpan w:val="8"/>
            <w:noWrap w:val="0"/>
            <w:vAlign w:val="center"/>
          </w:tcPr>
          <w:p>
            <w:pPr>
              <w:pStyle w:val="17"/>
              <w:bidi w:val="0"/>
              <w:jc w:val="both"/>
              <w:rPr>
                <w:rFonts w:hint="eastAsia"/>
              </w:rPr>
            </w:pPr>
            <w:r>
              <w:rPr>
                <w:rFonts w:hint="eastAsia"/>
              </w:rPr>
              <w:t>备注：评价指标和各级指标有最高得分值，某项得分超过指标所设定的最高分，按最高分计算该项得分。</w:t>
            </w:r>
          </w:p>
          <w:p>
            <w:pPr>
              <w:pStyle w:val="17"/>
              <w:bidi w:val="0"/>
              <w:ind w:left="720" w:hanging="720" w:hangingChars="300"/>
              <w:jc w:val="both"/>
              <w:rPr>
                <w:rFonts w:hint="eastAsia"/>
              </w:rPr>
            </w:pPr>
            <w:r>
              <w:rPr>
                <w:rFonts w:hint="eastAsia"/>
                <w:lang w:val="en-US" w:eastAsia="zh-CN"/>
              </w:rPr>
              <w:t xml:space="preserve">     </w:t>
            </w:r>
            <w:r>
              <w:rPr>
                <w:rFonts w:hint="eastAsia"/>
              </w:rPr>
              <w:t>*核心期刊指列入《北大中文核心期刊目录》的期刊，2020版目录中的安全科学核心期刊包括：1.中国安全科学学报2.安全与环境学报 3.消防科学与技术 4.工业安全与环保 5.中国安全生产科学技术6.火灾科学。核心期刊会有变化，以评审当年适用的目录为准。</w:t>
            </w:r>
          </w:p>
        </w:tc>
      </w:tr>
    </w:tbl>
    <w:p>
      <w:pPr>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p>
      <w:pPr>
        <w:ind w:left="0" w:leftChars="0" w:firstLine="0" w:firstLineChars="0"/>
        <w:rPr>
          <w:rFonts w:hint="eastAsia" w:ascii="黑体" w:hAnsi="黑体" w:eastAsia="黑体" w:cs="黑体"/>
        </w:rPr>
      </w:pPr>
      <w:r>
        <w:rPr>
          <w:rFonts w:hint="eastAsia" w:ascii="黑体" w:hAnsi="黑体" w:eastAsia="黑体" w:cs="黑体"/>
        </w:rPr>
        <w:t>附件2</w:t>
      </w:r>
    </w:p>
    <w:p>
      <w:pPr>
        <w:rPr>
          <w:rFonts w:hint="eastAsia" w:ascii="黑体" w:hAnsi="黑体" w:eastAsia="黑体" w:cs="黑体"/>
        </w:rPr>
      </w:pPr>
    </w:p>
    <w:p>
      <w:pPr>
        <w:pStyle w:val="3"/>
        <w:bidi w:val="0"/>
        <w:rPr>
          <w:rFonts w:hint="eastAsia"/>
        </w:rPr>
      </w:pPr>
      <w:r>
        <w:rPr>
          <w:rFonts w:hint="eastAsia"/>
        </w:rPr>
        <w:t>台州市防灾减灾领域工程师职务任职资格</w:t>
      </w:r>
    </w:p>
    <w:p>
      <w:pPr>
        <w:pStyle w:val="3"/>
        <w:bidi w:val="0"/>
        <w:rPr>
          <w:rFonts w:hint="eastAsia"/>
        </w:rPr>
      </w:pPr>
      <w:r>
        <w:rPr>
          <w:rFonts w:hint="eastAsia"/>
        </w:rPr>
        <w:t>评价条件（试行）</w:t>
      </w:r>
    </w:p>
    <w:p>
      <w:pPr>
        <w:pStyle w:val="19"/>
        <w:bidi w:val="0"/>
        <w:rPr>
          <w:rFonts w:hint="eastAsia"/>
        </w:rPr>
      </w:pPr>
      <w:r>
        <w:rPr>
          <w:rFonts w:hint="eastAsia"/>
        </w:rPr>
        <w:t>第一章 总 则</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第一条  </w:t>
      </w:r>
      <w:r>
        <w:rPr>
          <w:rFonts w:hint="eastAsia"/>
        </w:rPr>
        <w:t>为客观公正评价防灾减灾领域技术人员的能力和水平，完善防灾减灾领域人才选拔机制，促进防灾减灾领域技术人才队伍整体素质提高，根据中央和省委有关深化职称制度改革意见，结合实际，制定本评价条件。</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第二条  </w:t>
      </w:r>
      <w:r>
        <w:rPr>
          <w:rFonts w:hint="eastAsia"/>
        </w:rPr>
        <w:t>本评价条件适用于我市从事防灾减灾基础建设、防灾减灾技术等工作的专业技术人员申报工程师职务任职资格，其中事业单位人员应按照评聘结合原则执行。</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（一）防灾减灾基础建设相关工作：指从事防灾减灾相关标准制修订，综合减灾示范社区创建，应急物资储备规划，避灾安置场所建设，防灾减灾新技术、新方法开发与推广等工作。</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（二）防灾减灾技术相关工作：指从事自然灾害调查与评估，自然灾害综合监测预警，自然灾害防御工作指南、案例库编制，防灾减灾规划编制，自然灾害减灾和防治工程技术应用等工作。</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第三条  </w:t>
      </w:r>
      <w:r>
        <w:rPr>
          <w:rFonts w:hint="eastAsia"/>
        </w:rPr>
        <w:t>按照本评价条件通过评审，获得防灾减灾领域工程师职务任职资格的人员，表明其具有相应的专业技术和学术水平，是聘任防灾减灾领域工程师职务的重要依据。</w:t>
      </w:r>
    </w:p>
    <w:p>
      <w:pPr>
        <w:pStyle w:val="19"/>
        <w:bidi w:val="0"/>
        <w:rPr>
          <w:rFonts w:hint="eastAsia"/>
        </w:rPr>
      </w:pPr>
      <w:r>
        <w:rPr>
          <w:rFonts w:hint="eastAsia"/>
        </w:rPr>
        <w:t>第二章 申报基本条件</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第四条  </w:t>
      </w:r>
      <w:r>
        <w:rPr>
          <w:rFonts w:hint="eastAsia"/>
        </w:rPr>
        <w:t>申报人员应当遵守《中华人民共和国宪法》和法律法规，拥护中国共产党的领导，坚持党的路线方针政策，坚持社会主义核心价值观，热爱防灾减灾工作，认真履行岗位职责，具有良好的职业道德、学术修养和敬业精神，积极为防灾减灾事业服务。</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第五条  </w:t>
      </w:r>
      <w:r>
        <w:rPr>
          <w:rFonts w:hint="eastAsia"/>
        </w:rPr>
        <w:t>符合下列条件之一者，可申报工程师职务任职资格：</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（一）获得相应理、工、农、医学科大学专科以上学历，取得助理工程师职务任职资格后，实际聘任助理工程师职务4年以上。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（二）获得相应理、工、农、医学科硕士学位或第二学士学位，取得助理工程师职务任职资格后，实际聘任助理工程师职务2年以上。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（三）任其他中级专业技术职务的人员，因岗位变动，需转评防灾减灾领域工程师职务任职资格的，应从事防灾减灾领域专业技术工作1年以上。</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b/>
          <w:bCs/>
        </w:rPr>
        <w:t xml:space="preserve">第六条  </w:t>
      </w:r>
      <w:r>
        <w:rPr>
          <w:rFonts w:hint="eastAsia"/>
        </w:rPr>
        <w:t>下列人员经考核合格，可初定工程师职务任职资格：</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（一）具有相应理、工、农、医学科研究生学历或硕士学位者，从事专业工作满3年（学历或学位取得前后从事防灾减灾领域的工作年限可以相加，但学历或学位取得后从事专业工作须满1年）。</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rPr>
      </w:pPr>
      <w:r>
        <w:rPr>
          <w:rFonts w:hint="eastAsia"/>
        </w:rPr>
        <w:t>（二）具有相应理、工、农、医学科博士学位者。</w:t>
      </w:r>
    </w:p>
    <w:p>
      <w:pPr>
        <w:rPr>
          <w:rFonts w:hint="eastAsia"/>
        </w:rPr>
      </w:pPr>
      <w:r>
        <w:rPr>
          <w:rFonts w:hint="eastAsia"/>
          <w:b/>
          <w:bCs/>
        </w:rPr>
        <w:t xml:space="preserve">第七条  </w:t>
      </w:r>
      <w:r>
        <w:rPr>
          <w:rFonts w:hint="eastAsia"/>
        </w:rPr>
        <w:t>申报工程师职务任职资格的，近4年年度考核为合格（或称职）以上等次。</w:t>
      </w:r>
    </w:p>
    <w:p>
      <w:pPr>
        <w:rPr>
          <w:rFonts w:hint="eastAsia"/>
        </w:rPr>
      </w:pPr>
      <w:r>
        <w:rPr>
          <w:rFonts w:hint="eastAsia"/>
          <w:b/>
          <w:bCs/>
        </w:rPr>
        <w:t xml:space="preserve">第八条 </w:t>
      </w:r>
      <w:r>
        <w:rPr>
          <w:rFonts w:hint="eastAsia"/>
        </w:rPr>
        <w:t xml:space="preserve"> 申报评审防灾减灾领域工程师职务任职资格的，应当按照《浙江省应急管理专业技术人员继续教育学时登记细则》规定完成继续教育学习。</w:t>
      </w:r>
    </w:p>
    <w:p>
      <w:pPr>
        <w:pStyle w:val="19"/>
        <w:bidi w:val="0"/>
        <w:rPr>
          <w:rFonts w:hint="eastAsia"/>
        </w:rPr>
      </w:pPr>
      <w:r>
        <w:rPr>
          <w:rFonts w:hint="eastAsia"/>
        </w:rPr>
        <w:t>第三章 评审条件</w:t>
      </w:r>
    </w:p>
    <w:p>
      <w:pPr>
        <w:rPr>
          <w:rFonts w:hint="eastAsia"/>
        </w:rPr>
      </w:pPr>
      <w:r>
        <w:rPr>
          <w:rFonts w:hint="eastAsia"/>
          <w:b/>
          <w:bCs/>
        </w:rPr>
        <w:t xml:space="preserve">第九条 </w:t>
      </w:r>
      <w:r>
        <w:rPr>
          <w:rFonts w:hint="eastAsia"/>
        </w:rPr>
        <w:t xml:space="preserve"> 申报防灾减灾领域工程师职务任职资格人员应达到的评审条件：</w:t>
      </w:r>
    </w:p>
    <w:p>
      <w:pPr>
        <w:rPr>
          <w:rFonts w:hint="eastAsia"/>
          <w:b/>
          <w:bCs/>
        </w:rPr>
      </w:pPr>
      <w:r>
        <w:rPr>
          <w:rFonts w:hint="eastAsia"/>
          <w:b/>
          <w:bCs/>
        </w:rPr>
        <w:t>（一）专业理论知识</w:t>
      </w:r>
    </w:p>
    <w:p>
      <w:pPr>
        <w:rPr>
          <w:rFonts w:hint="eastAsia"/>
        </w:rPr>
      </w:pPr>
      <w:r>
        <w:rPr>
          <w:rFonts w:hint="eastAsia"/>
        </w:rPr>
        <w:t>较系统地掌握防灾减灾领域的基础理论知识和专业技术知识，能较熟练地运用防灾减灾领域的技术标准、规范和规程，了解防灾减灾领域国内外技术现状和发展趋势。</w:t>
      </w:r>
    </w:p>
    <w:p>
      <w:pPr>
        <w:rPr>
          <w:rFonts w:hint="eastAsia"/>
          <w:b/>
          <w:bCs/>
        </w:rPr>
      </w:pPr>
      <w:r>
        <w:rPr>
          <w:rFonts w:hint="eastAsia"/>
          <w:b/>
          <w:bCs/>
        </w:rPr>
        <w:t>（二）专业技术工作经历与能力</w:t>
      </w:r>
    </w:p>
    <w:p>
      <w:pPr>
        <w:rPr>
          <w:rFonts w:hint="eastAsia"/>
        </w:rPr>
      </w:pPr>
      <w:r>
        <w:rPr>
          <w:rFonts w:hint="eastAsia"/>
        </w:rPr>
        <w:t>具有运用防灾减灾领域的理论和现有科研成果，进行防灾减灾技术服务，应急物资储备规划，避灾安置场所建设，灾害风险分析研判，自然灾害综合监测预警，防灾减灾新技术、新方法开发或推广的经历和能力。</w:t>
      </w:r>
    </w:p>
    <w:p>
      <w:pPr>
        <w:rPr>
          <w:rFonts w:hint="eastAsia"/>
          <w:b/>
          <w:bCs/>
        </w:rPr>
      </w:pPr>
      <w:r>
        <w:rPr>
          <w:rFonts w:hint="eastAsia"/>
          <w:b/>
          <w:bCs/>
        </w:rPr>
        <w:t>（三）专业技术工作业绩与成果</w:t>
      </w:r>
    </w:p>
    <w:p>
      <w:pPr>
        <w:rPr>
          <w:rFonts w:hint="eastAsia"/>
        </w:rPr>
      </w:pPr>
      <w:r>
        <w:rPr>
          <w:rFonts w:hint="eastAsia"/>
        </w:rPr>
        <w:t>任助理工程师期间，应至少具备下列条件之一：</w:t>
      </w:r>
    </w:p>
    <w:p>
      <w:pPr>
        <w:rPr>
          <w:rFonts w:hint="eastAsia"/>
        </w:rPr>
      </w:pPr>
      <w:r>
        <w:rPr>
          <w:rFonts w:hint="eastAsia"/>
        </w:rPr>
        <w:t>1.参与完成设区市（厅）级以上标准/规程/规范1项以上，并颁布实施。</w:t>
      </w:r>
    </w:p>
    <w:p>
      <w:pPr>
        <w:rPr>
          <w:rFonts w:hint="eastAsia"/>
        </w:rPr>
      </w:pPr>
      <w:r>
        <w:rPr>
          <w:rFonts w:hint="eastAsia"/>
        </w:rPr>
        <w:t>2.参与完成县级以上科研项目2项以上，并通过评审、验收。</w:t>
      </w:r>
    </w:p>
    <w:p>
      <w:pPr>
        <w:rPr>
          <w:rFonts w:hint="eastAsia"/>
        </w:rPr>
      </w:pPr>
      <w:r>
        <w:rPr>
          <w:rFonts w:hint="eastAsia"/>
        </w:rPr>
        <w:t>3.参与完成县级以上自然灾害风险评估报告8份以上，或参与完成自然灾害综合风险评估（区划）报告4份以上。</w:t>
      </w:r>
    </w:p>
    <w:p>
      <w:pPr>
        <w:rPr>
          <w:rFonts w:hint="eastAsia"/>
        </w:rPr>
      </w:pPr>
      <w:r>
        <w:rPr>
          <w:rFonts w:hint="eastAsia"/>
        </w:rPr>
        <w:t>4.参与县级以上自然灾害调查完成典型性调查评估报告、总结性调查评估报告4份以上，并通过审核。</w:t>
      </w:r>
    </w:p>
    <w:p>
      <w:pPr>
        <w:rPr>
          <w:rFonts w:hint="eastAsia"/>
        </w:rPr>
      </w:pPr>
      <w:r>
        <w:rPr>
          <w:rFonts w:hint="eastAsia"/>
        </w:rPr>
        <w:t>5.参与完成自然灾害防御工作指南、案例库或防灾减灾规划编制3项以上，并推广应用。</w:t>
      </w:r>
    </w:p>
    <w:p>
      <w:pPr>
        <w:rPr>
          <w:rFonts w:hint="eastAsia"/>
        </w:rPr>
      </w:pPr>
      <w:r>
        <w:rPr>
          <w:rFonts w:hint="eastAsia"/>
        </w:rPr>
        <w:t>6.参与完成自然灾害灾情调查、核查3项以上，并形成调查报告。</w:t>
      </w:r>
    </w:p>
    <w:p>
      <w:pPr>
        <w:rPr>
          <w:rFonts w:hint="eastAsia"/>
        </w:rPr>
      </w:pPr>
      <w:r>
        <w:rPr>
          <w:rFonts w:hint="eastAsia"/>
        </w:rPr>
        <w:t>7.参与3次以上自然灾害综合监测预警工作，并形成相应的综合分析报告。</w:t>
      </w:r>
    </w:p>
    <w:p>
      <w:pPr>
        <w:rPr>
          <w:rFonts w:hint="eastAsia"/>
        </w:rPr>
      </w:pPr>
      <w:r>
        <w:rPr>
          <w:rFonts w:hint="eastAsia"/>
        </w:rPr>
        <w:t>8.参与开展综合减灾示范社区创建工作，并参与省级以上减灾示范社区的运行。</w:t>
      </w:r>
    </w:p>
    <w:p>
      <w:pPr>
        <w:rPr>
          <w:rFonts w:hint="eastAsia"/>
        </w:rPr>
      </w:pPr>
      <w:r>
        <w:rPr>
          <w:rFonts w:hint="eastAsia"/>
        </w:rPr>
        <w:t>9.为主完成乡镇级以上避灾安置场所或应急物资储备评估、规划、建设工作4项以上，并持续做好管理工作。</w:t>
      </w:r>
    </w:p>
    <w:p>
      <w:pPr>
        <w:rPr>
          <w:rFonts w:hint="eastAsia"/>
        </w:rPr>
      </w:pPr>
      <w:r>
        <w:rPr>
          <w:rFonts w:hint="eastAsia"/>
        </w:rPr>
        <w:t>10.参与开发或推广防灾减灾新技术、新方法等项目1项以上，成效显著。</w:t>
      </w:r>
    </w:p>
    <w:p>
      <w:pPr>
        <w:rPr>
          <w:rFonts w:hint="eastAsia"/>
        </w:rPr>
      </w:pPr>
      <w:r>
        <w:rPr>
          <w:rFonts w:hint="eastAsia"/>
        </w:rPr>
        <w:t>11.获得防灾减灾领域相关专利或软件著作权1项以上。</w:t>
      </w:r>
    </w:p>
    <w:p>
      <w:pPr>
        <w:rPr>
          <w:rFonts w:hint="eastAsia"/>
          <w:b/>
          <w:bCs/>
        </w:rPr>
      </w:pPr>
      <w:r>
        <w:rPr>
          <w:rFonts w:hint="eastAsia"/>
          <w:b/>
          <w:bCs/>
        </w:rPr>
        <w:t>（四）论文、著作条件</w:t>
      </w:r>
    </w:p>
    <w:p>
      <w:pPr>
        <w:rPr>
          <w:rFonts w:hint="eastAsia"/>
        </w:rPr>
      </w:pPr>
      <w:r>
        <w:rPr>
          <w:rFonts w:hint="eastAsia"/>
        </w:rPr>
        <w:t>在全国公开发行的专业期刊或省、部级以上专业性学术会议上发表过论文，或出版过有一定学术水平的专著或译著。</w:t>
      </w:r>
    </w:p>
    <w:p>
      <w:pPr>
        <w:pStyle w:val="19"/>
        <w:bidi w:val="0"/>
        <w:rPr>
          <w:rFonts w:hint="eastAsia"/>
        </w:rPr>
      </w:pPr>
      <w:r>
        <w:rPr>
          <w:rFonts w:hint="eastAsia"/>
        </w:rPr>
        <w:t>第四章 附  则</w:t>
      </w:r>
    </w:p>
    <w:p>
      <w:pPr>
        <w:rPr>
          <w:rFonts w:hint="eastAsia"/>
        </w:rPr>
      </w:pPr>
      <w:r>
        <w:rPr>
          <w:rFonts w:hint="eastAsia"/>
          <w:b/>
          <w:bCs/>
        </w:rPr>
        <w:t xml:space="preserve">第十条 </w:t>
      </w:r>
      <w:r>
        <w:rPr>
          <w:rFonts w:hint="eastAsia"/>
        </w:rPr>
        <w:t xml:space="preserve"> 本评价条件中涉及的工作能力、工作业绩（含标志性业绩成果）、科研成果、发明专利、继续教育证明、论文论著等均与防灾减灾领域相关且为任现职或近5年以来取得，并需提供相应的佐证材料。</w:t>
      </w:r>
    </w:p>
    <w:p>
      <w:pPr>
        <w:rPr>
          <w:rFonts w:hint="eastAsia"/>
        </w:rPr>
      </w:pPr>
      <w:r>
        <w:rPr>
          <w:rFonts w:hint="eastAsia"/>
          <w:b/>
          <w:bCs/>
        </w:rPr>
        <w:t xml:space="preserve">第十一条  </w:t>
      </w:r>
      <w:r>
        <w:rPr>
          <w:rFonts w:hint="eastAsia"/>
        </w:rPr>
        <w:t>工程师评审主要采取定性方式。市应急管理领域中级专业技术资格评审委员会制定量化赋分标准，</w:t>
      </w:r>
      <w:bookmarkStart w:id="0" w:name="_GoBack"/>
      <w:r>
        <w:rPr>
          <w:rFonts w:hint="default"/>
          <w:woUserID w:val="1"/>
        </w:rPr>
        <w:t>作为评审重要参考，</w:t>
      </w:r>
      <w:bookmarkEnd w:id="0"/>
      <w:r>
        <w:rPr>
          <w:rFonts w:hint="eastAsia"/>
        </w:rPr>
        <w:t>量化赋分标准和规定分值根据行业发展情况适时调整。</w:t>
      </w:r>
    </w:p>
    <w:p>
      <w:pPr>
        <w:rPr>
          <w:rFonts w:hint="eastAsia"/>
        </w:rPr>
      </w:pPr>
      <w:r>
        <w:rPr>
          <w:rFonts w:hint="eastAsia"/>
          <w:b/>
          <w:bCs/>
        </w:rPr>
        <w:t>第十二条</w:t>
      </w:r>
      <w:r>
        <w:rPr>
          <w:rFonts w:hint="eastAsia"/>
        </w:rPr>
        <w:t xml:space="preserve">  申报人员有下列情形之一的，取消其评审资格，已通过评审的人员，取消其职务任职资格，由发证机关收回其任职资格证书，并从次年起3年内不得申报相应职务任职资格评审：</w:t>
      </w:r>
    </w:p>
    <w:p>
      <w:pPr>
        <w:rPr>
          <w:rFonts w:hint="eastAsia"/>
        </w:rPr>
      </w:pPr>
      <w:r>
        <w:rPr>
          <w:rFonts w:hint="eastAsia"/>
        </w:rPr>
        <w:t>（一）伪造、变造证件、证明等申报材料的。</w:t>
      </w:r>
    </w:p>
    <w:p>
      <w:pPr>
        <w:rPr>
          <w:rFonts w:hint="eastAsia"/>
        </w:rPr>
      </w:pPr>
      <w:r>
        <w:rPr>
          <w:rFonts w:hint="eastAsia"/>
        </w:rPr>
        <w:t>（二）有违纪违法行为仍在处理、处分、处罚阶段或任现职后有严重违纪违法行为，在申报材料中未反映的。</w:t>
      </w:r>
    </w:p>
    <w:p>
      <w:pPr>
        <w:rPr>
          <w:rFonts w:hint="eastAsia"/>
        </w:rPr>
      </w:pPr>
      <w:r>
        <w:rPr>
          <w:rFonts w:hint="eastAsia"/>
        </w:rPr>
        <w:t>（三）有其他弄虚作假、营私舞弊行为的。</w:t>
      </w:r>
    </w:p>
    <w:p>
      <w:pPr>
        <w:rPr>
          <w:rFonts w:hint="eastAsia"/>
        </w:rPr>
      </w:pPr>
      <w:r>
        <w:rPr>
          <w:rFonts w:hint="eastAsia"/>
          <w:b/>
          <w:bCs/>
        </w:rPr>
        <w:t xml:space="preserve">第十三条 </w:t>
      </w:r>
      <w:r>
        <w:rPr>
          <w:rFonts w:hint="eastAsia"/>
        </w:rPr>
        <w:t xml:space="preserve"> 本评价条件中有关词语或概念的特定解释。</w:t>
      </w:r>
    </w:p>
    <w:p>
      <w:pPr>
        <w:rPr>
          <w:rFonts w:hint="eastAsia"/>
        </w:rPr>
      </w:pPr>
      <w:r>
        <w:rPr>
          <w:rFonts w:hint="eastAsia"/>
        </w:rPr>
        <w:t>（一）获奖人员是指国家有关机构规定的获奖项目、课题各等级内额定获奖人员（有个人获奖证书或文件）。</w:t>
      </w:r>
    </w:p>
    <w:p>
      <w:pPr>
        <w:rPr>
          <w:rFonts w:hint="eastAsia"/>
        </w:rPr>
      </w:pPr>
      <w:r>
        <w:rPr>
          <w:rFonts w:hint="eastAsia"/>
        </w:rPr>
        <w:t>（二）“为主”是指项目（包括国家级科技项目子课题）排名前三的完成者（以项目计划任务书或有关文件为准）。</w:t>
      </w:r>
    </w:p>
    <w:p>
      <w:pPr>
        <w:rPr>
          <w:rFonts w:hint="eastAsia"/>
        </w:rPr>
      </w:pPr>
      <w:r>
        <w:rPr>
          <w:rFonts w:hint="eastAsia"/>
        </w:rPr>
        <w:t>（三）省、部级以上期刊是指省、部级以上专业学会（协会）或省、部级以上业务部门主办的公开发行的有正式刊号的刊物。核心期刊是指属于中文核心期刊、中国科技核心期刊、CSCD期刊和中国核心期刊遴选数据库体系内的期刊。</w:t>
      </w:r>
    </w:p>
    <w:p>
      <w:pPr>
        <w:rPr>
          <w:rFonts w:hint="eastAsia"/>
        </w:rPr>
      </w:pPr>
      <w:r>
        <w:rPr>
          <w:rFonts w:hint="eastAsia"/>
        </w:rPr>
        <w:t>（四）标志性业绩成果中的获奖专利是指发明专利。</w:t>
      </w:r>
    </w:p>
    <w:p>
      <w:pPr>
        <w:rPr>
          <w:rFonts w:hint="eastAsia"/>
        </w:rPr>
      </w:pPr>
      <w:r>
        <w:rPr>
          <w:rFonts w:hint="eastAsia"/>
        </w:rPr>
        <w:t>（五）佐证材料是指能提供本人在所完成的业绩成果中地位、作用的书面证明材料。</w:t>
      </w:r>
    </w:p>
    <w:p>
      <w:pPr>
        <w:rPr>
          <w:rFonts w:hint="eastAsia"/>
        </w:rPr>
      </w:pPr>
      <w:r>
        <w:rPr>
          <w:rFonts w:hint="eastAsia"/>
        </w:rPr>
        <w:t>（六）编著是指撰写内容字数达到3万字以上。</w:t>
      </w:r>
    </w:p>
    <w:p>
      <w:pPr>
        <w:rPr>
          <w:rFonts w:hint="eastAsia"/>
        </w:rPr>
      </w:pPr>
      <w:r>
        <w:rPr>
          <w:rFonts w:hint="eastAsia"/>
        </w:rPr>
        <w:t>（七）“以上”均含本级或本数。</w:t>
      </w:r>
    </w:p>
    <w:p>
      <w:pPr>
        <w:rPr>
          <w:rFonts w:hint="eastAsia"/>
        </w:rPr>
      </w:pPr>
      <w:r>
        <w:rPr>
          <w:rFonts w:hint="eastAsia"/>
        </w:rPr>
        <w:t>（八）“年”均为周年。</w:t>
      </w:r>
    </w:p>
    <w:p>
      <w:pPr>
        <w:rPr>
          <w:rFonts w:hint="eastAsia"/>
        </w:rPr>
      </w:pPr>
      <w:r>
        <w:rPr>
          <w:rFonts w:hint="eastAsia"/>
          <w:b/>
          <w:bCs/>
        </w:rPr>
        <w:t xml:space="preserve">第十四条 </w:t>
      </w:r>
      <w:r>
        <w:rPr>
          <w:rFonts w:hint="eastAsia"/>
        </w:rPr>
        <w:t xml:space="preserve"> 本评价条件由市应急管理局、市人力社保局按职责分工负责解释。</w:t>
      </w:r>
    </w:p>
    <w:p>
      <w:pPr>
        <w:rPr>
          <w:rFonts w:hint="eastAsia"/>
        </w:rPr>
      </w:pPr>
      <w:r>
        <w:rPr>
          <w:rFonts w:hint="eastAsia"/>
          <w:b/>
          <w:bCs/>
        </w:rPr>
        <w:t xml:space="preserve">第十五条 </w:t>
      </w:r>
      <w:r>
        <w:rPr>
          <w:rFonts w:hint="eastAsia"/>
        </w:rPr>
        <w:t xml:space="preserve"> 本评价条件自2022年</w:t>
      </w:r>
      <w:r>
        <w:rPr>
          <w:rFonts w:hint="default"/>
          <w:woUserID w:val="1"/>
        </w:rPr>
        <w:t>10</w:t>
      </w:r>
      <w:r>
        <w:rPr>
          <w:rFonts w:hint="eastAsia"/>
        </w:rPr>
        <w:t>月</w:t>
      </w:r>
      <w:r>
        <w:rPr>
          <w:rFonts w:hint="default"/>
          <w:woUserID w:val="1"/>
        </w:rPr>
        <w:t>8</w:t>
      </w:r>
      <w:r>
        <w:rPr>
          <w:rFonts w:hint="eastAsia"/>
        </w:rPr>
        <w:t>日起施行。</w:t>
      </w:r>
    </w:p>
    <w:p>
      <w:pPr>
        <w:rPr>
          <w:rFonts w:hint="eastAsia"/>
        </w:rPr>
      </w:pPr>
    </w:p>
    <w:p>
      <w:pPr>
        <w:sectPr>
          <w:pgSz w:w="11906" w:h="16838"/>
          <w:pgMar w:top="1701" w:right="1531" w:bottom="1701" w:left="1531" w:header="851" w:footer="992" w:gutter="0"/>
          <w:pgNumType w:fmt="decimal"/>
          <w:cols w:space="0" w:num="1"/>
          <w:rtlGutter w:val="0"/>
          <w:docGrid w:type="lines" w:linePitch="312" w:charSpace="0"/>
        </w:sectPr>
      </w:pPr>
      <w:r>
        <w:rPr>
          <w:rFonts w:hint="eastAsia"/>
        </w:rPr>
        <w:t>附表：台州市防灾减灾领域工程师职务任职资格量化赋分标</w:t>
      </w:r>
    </w:p>
    <w:p>
      <w:pPr>
        <w:pStyle w:val="6"/>
        <w:keepNext w:val="0"/>
        <w:keepLines w:val="0"/>
        <w:pageBreakBefore w:val="0"/>
        <w:widowControl w:val="0"/>
        <w:kinsoku/>
        <w:wordWrap/>
        <w:overflowPunct/>
        <w:topLinePunct/>
        <w:autoSpaceDE/>
        <w:autoSpaceDN/>
        <w:bidi w:val="0"/>
        <w:adjustRightInd w:val="0"/>
        <w:snapToGrid w:val="0"/>
        <w:spacing w:line="400" w:lineRule="atLeast"/>
        <w:ind w:left="0" w:leftChars="0" w:firstLine="0" w:firstLineChars="0"/>
        <w:textAlignment w:val="auto"/>
        <w:rPr>
          <w:rFonts w:hint="eastAsia" w:ascii="黑体" w:hAnsi="黑体" w:eastAsia="黑体" w:cs="黑体"/>
          <w:lang w:eastAsia="zh-CN"/>
        </w:rPr>
      </w:pPr>
      <w:r>
        <w:rPr>
          <w:rFonts w:hint="eastAsia" w:ascii="黑体" w:hAnsi="黑体" w:eastAsia="黑体" w:cs="黑体"/>
        </w:rPr>
        <w:t>附</w:t>
      </w:r>
      <w:r>
        <w:rPr>
          <w:rFonts w:hint="eastAsia" w:ascii="黑体" w:hAnsi="黑体" w:eastAsia="黑体" w:cs="黑体"/>
          <w:lang w:eastAsia="zh-CN"/>
        </w:rPr>
        <w:t>表</w:t>
      </w:r>
    </w:p>
    <w:p>
      <w:pPr>
        <w:pStyle w:val="6"/>
        <w:keepNext w:val="0"/>
        <w:keepLines w:val="0"/>
        <w:pageBreakBefore w:val="0"/>
        <w:widowControl w:val="0"/>
        <w:kinsoku/>
        <w:wordWrap/>
        <w:overflowPunct/>
        <w:topLinePunct/>
        <w:autoSpaceDE/>
        <w:autoSpaceDN/>
        <w:bidi w:val="0"/>
        <w:adjustRightInd w:val="0"/>
        <w:snapToGrid w:val="0"/>
        <w:spacing w:line="400" w:lineRule="atLeast"/>
        <w:ind w:left="0" w:leftChars="0" w:firstLine="0" w:firstLineChars="0"/>
        <w:textAlignment w:val="auto"/>
        <w:rPr>
          <w:rFonts w:hint="eastAsia" w:ascii="黑体" w:hAnsi="黑体" w:eastAsia="黑体" w:cs="黑体"/>
        </w:rPr>
      </w:pPr>
    </w:p>
    <w:p>
      <w:pPr>
        <w:pStyle w:val="3"/>
        <w:bidi w:val="0"/>
        <w:rPr>
          <w:rFonts w:hint="eastAsia"/>
        </w:rPr>
      </w:pPr>
      <w:r>
        <w:rPr>
          <w:rFonts w:hint="eastAsia"/>
        </w:rPr>
        <w:t>台州市防灾减灾领域工程师职务任职资格量化赋分标准</w:t>
      </w:r>
    </w:p>
    <w:p>
      <w:pPr>
        <w:rPr>
          <w:rFonts w:hint="eastAsia"/>
          <w:lang w:eastAsia="zh-CN"/>
        </w:rPr>
      </w:pPr>
    </w:p>
    <w:tbl>
      <w:tblPr>
        <w:tblStyle w:val="20"/>
        <w:tblW w:w="13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1119"/>
        <w:gridCol w:w="1179"/>
        <w:gridCol w:w="1794"/>
        <w:gridCol w:w="1289"/>
        <w:gridCol w:w="10"/>
        <w:gridCol w:w="2228"/>
        <w:gridCol w:w="859"/>
        <w:gridCol w:w="1399"/>
        <w:gridCol w:w="731"/>
        <w:gridCol w:w="61"/>
        <w:gridCol w:w="720"/>
        <w:gridCol w:w="148"/>
        <w:gridCol w:w="527"/>
        <w:gridCol w:w="412"/>
        <w:gridCol w:w="20"/>
        <w:gridCol w:w="363"/>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blHeader/>
        </w:trPr>
        <w:tc>
          <w:tcPr>
            <w:tcW w:w="111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评价指标</w:t>
            </w: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一级指标</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二级指标</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三级指标</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四级指标</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最高</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分值</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赋分说明</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职业道德</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1</w:t>
            </w:r>
            <w:r>
              <w:rPr>
                <w:rFonts w:hint="eastAsia" w:ascii="仿宋_GB2312" w:hAnsi="仿宋_GB2312" w:eastAsia="仿宋_GB2312" w:cs="仿宋_GB2312"/>
                <w:snapToGrid w:val="0"/>
                <w:color w:val="000000"/>
                <w:kern w:val="0"/>
                <w:sz w:val="24"/>
                <w:szCs w:val="24"/>
                <w:lang w:val="en-US" w:eastAsia="zh-CN"/>
              </w:rPr>
              <w:t>0</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爱岗敬业</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7</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劳模、五一劳动奖章、先进工作者、优秀共产党员、行业部门表彰等荣誉称号</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省</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部</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级</w:t>
            </w:r>
            <w:r>
              <w:rPr>
                <w:rFonts w:hint="eastAsia" w:ascii="仿宋_GB2312" w:hAnsi="仿宋_GB2312" w:eastAsia="仿宋_GB2312" w:cs="仿宋_GB2312"/>
                <w:snapToGrid w:val="0"/>
                <w:color w:val="000000"/>
                <w:kern w:val="0"/>
                <w:sz w:val="24"/>
                <w:szCs w:val="24"/>
                <w:lang w:eastAsia="zh-CN"/>
              </w:rPr>
              <w:t>及以上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n为专家认定的奖项个数。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厅</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县（局）级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在维护国家利益、公共利益活动中受到伤害</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以</w:t>
            </w:r>
            <w:r>
              <w:rPr>
                <w:rFonts w:hint="eastAsia" w:ascii="仿宋_GB2312" w:hAnsi="仿宋_GB2312" w:eastAsia="仿宋_GB2312" w:cs="仿宋_GB2312"/>
                <w:snapToGrid w:val="0"/>
                <w:color w:val="000000"/>
                <w:kern w:val="0"/>
                <w:sz w:val="24"/>
                <w:szCs w:val="24"/>
              </w:rPr>
              <w:t>工伤认定证明为准。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年度考核</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3分</w:t>
            </w:r>
            <w:r>
              <w:rPr>
                <w:rFonts w:hint="eastAsia" w:ascii="仿宋_GB2312" w:hAnsi="仿宋_GB2312" w:eastAsia="仿宋_GB2312" w:cs="仿宋_GB2312"/>
                <w:snapToGrid w:val="0"/>
                <w:color w:val="000000"/>
                <w:kern w:val="0"/>
                <w:sz w:val="24"/>
                <w:szCs w:val="24"/>
                <w:lang w:eastAsia="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近三年年度考核为优秀等次</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专业技术经历和水平</w:t>
            </w:r>
          </w:p>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40</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专业学习经历</w:t>
            </w:r>
          </w:p>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7</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硕士研究生</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7</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7</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得的学历、学位按最高项计分;双学士、工程硕士学位以教育部门认定为准。本专业是指防灾减灾科学与工程专业及地球物理学、地质学、水利工程、土木工程、测绘科学与技术、地质资源与地质工程等一级学科下设置的防灾减灾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6</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双学士或</w:t>
            </w:r>
          </w:p>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工程硕士</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6</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本科</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82"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专科</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非本专业</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专业技术经历和水平</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40</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工作经历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10分</w:t>
            </w:r>
            <w:r>
              <w:rPr>
                <w:rFonts w:hint="eastAsia" w:ascii="仿宋_GB2312" w:hAnsi="仿宋_GB2312" w:eastAsia="仿宋_GB2312" w:cs="仿宋_GB2312"/>
                <w:snapToGrid w:val="0"/>
                <w:color w:val="000000"/>
                <w:kern w:val="0"/>
                <w:sz w:val="24"/>
                <w:szCs w:val="24"/>
                <w:lang w:eastAsia="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从事防灾减灾专业工作年限</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10</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外语和计算机能力（2分）</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取得职称外语类别C级及以上证书</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0.5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0.5</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取得《全国专业技术人员计算机应用能力考试合格证》</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1.5</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知识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更新情况</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（8分）</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继续教育</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学时登记</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90学时以上</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8</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8</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近3年继续教育年均学时，单位内部培训学时最高折算为20学时。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60-90学时</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6</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40-60学时</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27-40学时</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资格证书（3分）</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助理工程师</w:t>
            </w:r>
            <w:r>
              <w:rPr>
                <w:rFonts w:hint="eastAsia" w:ascii="仿宋_GB2312" w:hAnsi="仿宋_GB2312" w:eastAsia="仿宋_GB2312" w:cs="仿宋_GB2312"/>
                <w:snapToGrid w:val="0"/>
                <w:color w:val="000000"/>
                <w:kern w:val="0"/>
                <w:sz w:val="24"/>
                <w:szCs w:val="24"/>
              </w:rPr>
              <w:t>资格证书</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应在申报单位注册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行业</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影响力</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1</w:t>
            </w:r>
            <w:r>
              <w:rPr>
                <w:rFonts w:hint="eastAsia" w:ascii="仿宋_GB2312" w:hAnsi="仿宋_GB2312" w:eastAsia="仿宋_GB2312" w:cs="仿宋_GB2312"/>
                <w:snapToGrid w:val="0"/>
                <w:color w:val="000000"/>
                <w:kern w:val="0"/>
                <w:sz w:val="24"/>
                <w:szCs w:val="24"/>
                <w:lang w:val="en-US" w:eastAsia="zh-CN"/>
              </w:rPr>
              <w:t>0</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应急管理专家库成员</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省级</w:t>
            </w:r>
            <w:r>
              <w:rPr>
                <w:rFonts w:hint="eastAsia" w:ascii="仿宋_GB2312" w:hAnsi="仿宋_GB2312" w:eastAsia="仿宋_GB2312" w:cs="仿宋_GB2312"/>
                <w:snapToGrid w:val="0"/>
                <w:color w:val="000000"/>
                <w:kern w:val="0"/>
                <w:sz w:val="24"/>
                <w:szCs w:val="24"/>
                <w:lang w:eastAsia="zh-CN"/>
              </w:rPr>
              <w:t>及</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按最高层级计一次，同一层次可累计，n为数量。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454"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参加社会团体</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省级</w:t>
            </w:r>
            <w:r>
              <w:rPr>
                <w:rFonts w:hint="eastAsia" w:ascii="仿宋_GB2312" w:hAnsi="仿宋_GB2312" w:eastAsia="仿宋_GB2312" w:cs="仿宋_GB2312"/>
                <w:snapToGrid w:val="0"/>
                <w:color w:val="000000"/>
                <w:kern w:val="0"/>
                <w:sz w:val="24"/>
                <w:szCs w:val="24"/>
                <w:lang w:eastAsia="zh-CN"/>
              </w:rPr>
              <w:t>及</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主要负责人</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是指合法登记的与防灾减灾等专业相关的具有学术性质的社会团体或社会组织，不包括纯商业性质的商会、行业协会等;2.按参与的最高层级的社会团体计一次，不累计;3.社会团体主要负责人指担任常务理事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理事或委员</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地市级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主要负责人</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理事或委员</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区县级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主要负责人</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理事或委员</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成果</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和业绩</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0分</w:t>
            </w:r>
            <w:r>
              <w:rPr>
                <w:rFonts w:hint="eastAsia" w:ascii="仿宋_GB2312" w:hAnsi="仿宋_GB2312" w:eastAsia="仿宋_GB2312" w:cs="仿宋_GB2312"/>
                <w:snapToGrid w:val="0"/>
                <w:color w:val="000000"/>
                <w:kern w:val="0"/>
                <w:sz w:val="24"/>
                <w:szCs w:val="24"/>
                <w:lang w:eastAsia="zh-CN"/>
              </w:rPr>
              <w:t>）</w:t>
            </w: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岗位业绩</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26</w:t>
            </w:r>
            <w:r>
              <w:rPr>
                <w:rFonts w:hint="eastAsia" w:ascii="仿宋_GB2312" w:hAnsi="仿宋_GB2312" w:eastAsia="仿宋_GB2312" w:cs="仿宋_GB2312"/>
                <w:snapToGrid w:val="0"/>
                <w:color w:val="000000"/>
                <w:kern w:val="0"/>
                <w:sz w:val="24"/>
                <w:szCs w:val="24"/>
              </w:rPr>
              <w:t>分，评分时选取1项四级指标进行打分，选定后其他四级指标空项</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自然灾害风险评估与区划</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完成自然灾害风险评估与区划工作，提出有效的风险防治措施。</w:t>
            </w: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完成县级以上自然灾害风险评估报告</w:t>
            </w:r>
            <w:r>
              <w:rPr>
                <w:rFonts w:hint="eastAsia" w:ascii="仿宋_GB2312" w:hAnsi="仿宋_GB2312" w:eastAsia="仿宋_GB2312" w:cs="仿宋_GB2312"/>
                <w:snapToGrid w:val="0"/>
                <w:color w:val="000000"/>
                <w:kern w:val="0"/>
                <w:sz w:val="24"/>
                <w:szCs w:val="24"/>
                <w:lang w:val="en-US" w:eastAsia="zh-CN"/>
              </w:rPr>
              <w:t>8</w:t>
            </w:r>
            <w:r>
              <w:rPr>
                <w:rFonts w:hint="eastAsia" w:ascii="仿宋_GB2312" w:hAnsi="仿宋_GB2312" w:eastAsia="仿宋_GB2312" w:cs="仿宋_GB2312"/>
                <w:snapToGrid w:val="0"/>
                <w:color w:val="000000"/>
                <w:kern w:val="0"/>
                <w:sz w:val="24"/>
                <w:szCs w:val="24"/>
              </w:rPr>
              <w:t>份以上，并选择3份作为代表业绩。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26</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w:t>
            </w:r>
            <w:r>
              <w:rPr>
                <w:rFonts w:hint="eastAsia" w:ascii="仿宋_GB2312" w:hAnsi="仿宋_GB2312" w:eastAsia="仿宋_GB2312" w:cs="仿宋_GB2312"/>
                <w:snapToGrid w:val="0"/>
                <w:color w:val="000000"/>
                <w:kern w:val="0"/>
                <w:sz w:val="24"/>
                <w:szCs w:val="24"/>
                <w:lang w:val="en-US" w:eastAsia="zh-CN"/>
              </w:rPr>
              <w:t>16</w:t>
            </w:r>
            <w:r>
              <w:rPr>
                <w:rFonts w:hint="eastAsia" w:ascii="仿宋_GB2312" w:hAnsi="仿宋_GB2312" w:eastAsia="仿宋_GB2312" w:cs="仿宋_GB2312"/>
                <w:snapToGrid w:val="0"/>
                <w:color w:val="000000"/>
                <w:kern w:val="0"/>
                <w:sz w:val="24"/>
                <w:szCs w:val="24"/>
              </w:rPr>
              <w:t>,根据业绩贡献大小给与0-</w:t>
            </w:r>
            <w:r>
              <w:rPr>
                <w:rFonts w:hint="eastAsia" w:ascii="仿宋_GB2312" w:hAnsi="仿宋_GB2312" w:eastAsia="仿宋_GB2312" w:cs="仿宋_GB2312"/>
                <w:snapToGrid w:val="0"/>
                <w:color w:val="000000"/>
                <w:kern w:val="0"/>
                <w:sz w:val="24"/>
                <w:szCs w:val="24"/>
                <w:lang w:val="en-US" w:eastAsia="zh-CN"/>
              </w:rPr>
              <w:t>16</w:t>
            </w:r>
            <w:r>
              <w:rPr>
                <w:rFonts w:hint="eastAsia" w:ascii="仿宋_GB2312" w:hAnsi="仿宋_GB2312" w:eastAsia="仿宋_GB2312" w:cs="仿宋_GB2312"/>
                <w:snapToGrid w:val="0"/>
                <w:color w:val="000000"/>
                <w:kern w:val="0"/>
                <w:sz w:val="24"/>
                <w:szCs w:val="24"/>
              </w:rPr>
              <w:t>区间分值。附加分n最高分值</w:t>
            </w:r>
            <w:r>
              <w:rPr>
                <w:rFonts w:hint="eastAsia" w:ascii="仿宋_GB2312" w:hAnsi="仿宋_GB2312" w:eastAsia="仿宋_GB2312" w:cs="仿宋_GB2312"/>
                <w:snapToGrid w:val="0"/>
                <w:color w:val="000000"/>
                <w:kern w:val="0"/>
                <w:sz w:val="24"/>
                <w:szCs w:val="24"/>
                <w:lang w:val="en-US" w:eastAsia="zh-CN"/>
              </w:rPr>
              <w:t>10</w:t>
            </w:r>
            <w:r>
              <w:rPr>
                <w:rFonts w:hint="eastAsia" w:ascii="仿宋_GB2312" w:hAnsi="仿宋_GB2312" w:eastAsia="仿宋_GB2312" w:cs="仿宋_GB2312"/>
                <w:snapToGrid w:val="0"/>
                <w:color w:val="000000"/>
                <w:kern w:val="0"/>
                <w:sz w:val="24"/>
                <w:szCs w:val="24"/>
              </w:rPr>
              <w:t>分，根据3份代表业绩级别系数相加累计得出</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为主完成按照排名以1.0、0.8、0.7的系数计分</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级别</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系数</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4.0</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3.0</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完成县级以上自然灾害综合风险评估</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区划</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报告</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份以上，并选择2份作为代表业绩。</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基本分m最高分值为20,根据业绩贡献大小给与0-20区间分值。附加分n最高分值</w:t>
            </w:r>
            <w:r>
              <w:rPr>
                <w:rFonts w:hint="eastAsia" w:ascii="仿宋_GB2312" w:hAnsi="仿宋_GB2312" w:eastAsia="仿宋_GB2312" w:cs="仿宋_GB2312"/>
                <w:snapToGrid w:val="0"/>
                <w:color w:val="000000"/>
                <w:kern w:val="0"/>
                <w:sz w:val="24"/>
                <w:szCs w:val="24"/>
                <w:lang w:val="en-US" w:eastAsia="zh-CN"/>
              </w:rPr>
              <w:t>6</w:t>
            </w:r>
            <w:r>
              <w:rPr>
                <w:rFonts w:hint="eastAsia" w:ascii="仿宋_GB2312" w:hAnsi="仿宋_GB2312" w:eastAsia="仿宋_GB2312" w:cs="仿宋_GB2312"/>
                <w:snapToGrid w:val="0"/>
                <w:color w:val="000000"/>
                <w:kern w:val="0"/>
                <w:sz w:val="24"/>
                <w:szCs w:val="24"/>
              </w:rPr>
              <w:t>分，根据2份代表业绩级别系数相加累计得出</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为主完成按照排名以1.0、0.8、0.7的系数计分</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60"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级别省级</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60"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系数4.0</w:t>
            </w:r>
          </w:p>
        </w:tc>
        <w:tc>
          <w:tcPr>
            <w:tcW w:w="93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3.0</w:t>
            </w:r>
          </w:p>
        </w:tc>
        <w:tc>
          <w:tcPr>
            <w:tcW w:w="103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right="64" w:rightChars="20" w:firstLine="0" w:firstLineChars="0"/>
              <w:jc w:val="both"/>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综合减灾示范</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社区创建</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开展</w:t>
            </w:r>
            <w:r>
              <w:rPr>
                <w:rFonts w:hint="eastAsia" w:ascii="仿宋_GB2312" w:hAnsi="仿宋_GB2312" w:eastAsia="仿宋_GB2312" w:cs="仿宋_GB2312"/>
                <w:snapToGrid w:val="0"/>
                <w:color w:val="000000"/>
                <w:kern w:val="0"/>
                <w:sz w:val="24"/>
                <w:szCs w:val="24"/>
                <w:lang w:eastAsia="zh-CN"/>
              </w:rPr>
              <w:t>省级以上</w:t>
            </w:r>
            <w:r>
              <w:rPr>
                <w:rFonts w:hint="eastAsia" w:ascii="仿宋_GB2312" w:hAnsi="仿宋_GB2312" w:eastAsia="仿宋_GB2312" w:cs="仿宋_GB2312"/>
                <w:snapToGrid w:val="0"/>
                <w:color w:val="000000"/>
                <w:kern w:val="0"/>
                <w:sz w:val="24"/>
                <w:szCs w:val="24"/>
              </w:rPr>
              <w:t>综合减灾示范社区的创建</w:t>
            </w: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国家级综合减灾示范社区的创建</w:t>
            </w:r>
            <w:r>
              <w:rPr>
                <w:rFonts w:hint="eastAsia" w:ascii="仿宋_GB2312" w:hAnsi="仿宋_GB2312" w:eastAsia="仿宋_GB2312" w:cs="仿宋_GB2312"/>
                <w:snapToGrid w:val="0"/>
                <w:color w:val="000000"/>
                <w:kern w:val="0"/>
                <w:sz w:val="24"/>
                <w:szCs w:val="24"/>
                <w:lang w:eastAsia="zh-CN"/>
              </w:rPr>
              <w:t>，并持续运行。</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w:t>
            </w:r>
            <w:r>
              <w:rPr>
                <w:rFonts w:hint="eastAsia" w:ascii="仿宋_GB2312" w:hAnsi="仿宋_GB2312" w:eastAsia="仿宋_GB2312" w:cs="仿宋_GB2312"/>
                <w:snapToGrid w:val="0"/>
                <w:color w:val="000000"/>
                <w:kern w:val="0"/>
                <w:sz w:val="24"/>
                <w:szCs w:val="24"/>
                <w:lang w:val="en-US" w:eastAsia="zh-CN"/>
              </w:rPr>
              <w:t>18</w:t>
            </w:r>
            <w:r>
              <w:rPr>
                <w:rFonts w:hint="eastAsia" w:ascii="仿宋_GB2312" w:hAnsi="仿宋_GB2312" w:eastAsia="仿宋_GB2312" w:cs="仿宋_GB2312"/>
                <w:snapToGrid w:val="0"/>
                <w:color w:val="000000"/>
                <w:kern w:val="0"/>
                <w:sz w:val="24"/>
                <w:szCs w:val="24"/>
              </w:rPr>
              <w:t>,根据创建和持续运行业绩贡献大小给与0-</w:t>
            </w:r>
            <w:r>
              <w:rPr>
                <w:rFonts w:hint="eastAsia" w:ascii="仿宋_GB2312" w:hAnsi="仿宋_GB2312" w:eastAsia="仿宋_GB2312" w:cs="仿宋_GB2312"/>
                <w:snapToGrid w:val="0"/>
                <w:color w:val="000000"/>
                <w:kern w:val="0"/>
                <w:sz w:val="24"/>
                <w:szCs w:val="24"/>
                <w:lang w:val="en-US" w:eastAsia="zh-CN"/>
              </w:rPr>
              <w:t>18</w:t>
            </w:r>
            <w:r>
              <w:rPr>
                <w:rFonts w:hint="eastAsia" w:ascii="仿宋_GB2312" w:hAnsi="仿宋_GB2312" w:eastAsia="仿宋_GB2312" w:cs="仿宋_GB2312"/>
                <w:snapToGrid w:val="0"/>
                <w:color w:val="000000"/>
                <w:kern w:val="0"/>
                <w:sz w:val="24"/>
                <w:szCs w:val="24"/>
              </w:rPr>
              <w:t>区间分值。附加分n为创建完成后持续运行年份。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省级</w:t>
            </w:r>
            <w:r>
              <w:rPr>
                <w:rFonts w:hint="eastAsia" w:ascii="仿宋_GB2312" w:hAnsi="仿宋_GB2312" w:eastAsia="仿宋_GB2312" w:cs="仿宋_GB2312"/>
                <w:snapToGrid w:val="0"/>
                <w:color w:val="000000"/>
                <w:kern w:val="0"/>
                <w:sz w:val="24"/>
                <w:szCs w:val="24"/>
                <w:lang w:eastAsia="zh-CN"/>
              </w:rPr>
              <w:t>以上</w:t>
            </w:r>
            <w:r>
              <w:rPr>
                <w:rFonts w:hint="eastAsia" w:ascii="仿宋_GB2312" w:hAnsi="仿宋_GB2312" w:eastAsia="仿宋_GB2312" w:cs="仿宋_GB2312"/>
                <w:snapToGrid w:val="0"/>
                <w:color w:val="000000"/>
                <w:kern w:val="0"/>
                <w:sz w:val="24"/>
                <w:szCs w:val="24"/>
              </w:rPr>
              <w:t>减灾示范社区的</w:t>
            </w:r>
            <w:r>
              <w:rPr>
                <w:rFonts w:hint="eastAsia" w:ascii="仿宋_GB2312" w:hAnsi="仿宋_GB2312" w:eastAsia="仿宋_GB2312" w:cs="仿宋_GB2312"/>
                <w:snapToGrid w:val="0"/>
                <w:color w:val="000000"/>
                <w:kern w:val="0"/>
                <w:sz w:val="24"/>
                <w:szCs w:val="24"/>
                <w:lang w:eastAsia="zh-CN"/>
              </w:rPr>
              <w:t>创建，并持续</w:t>
            </w:r>
            <w:r>
              <w:rPr>
                <w:rFonts w:hint="eastAsia" w:ascii="仿宋_GB2312" w:hAnsi="仿宋_GB2312" w:eastAsia="仿宋_GB2312" w:cs="仿宋_GB2312"/>
                <w:snapToGrid w:val="0"/>
                <w:color w:val="000000"/>
                <w:kern w:val="0"/>
                <w:sz w:val="24"/>
                <w:szCs w:val="24"/>
              </w:rPr>
              <w:t>运行。</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岗位业绩</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26</w:t>
            </w:r>
            <w:r>
              <w:rPr>
                <w:rFonts w:hint="eastAsia" w:ascii="仿宋_GB2312" w:hAnsi="仿宋_GB2312" w:eastAsia="仿宋_GB2312" w:cs="仿宋_GB2312"/>
                <w:snapToGrid w:val="0"/>
                <w:color w:val="000000"/>
                <w:kern w:val="0"/>
                <w:sz w:val="24"/>
                <w:szCs w:val="24"/>
              </w:rPr>
              <w:t>分，评分时选取1项四级指标进行打分，选定后其他四级指标空项</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自然灾害</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调查评估</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自然灾害调查评估报告，提出防治措施和工作建议。</w:t>
            </w: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完成典型性调查评估报告、总结性调查评估报告</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份以上,并</w:t>
            </w:r>
            <w:r>
              <w:rPr>
                <w:rFonts w:hint="eastAsia" w:ascii="仿宋_GB2312" w:hAnsi="仿宋_GB2312" w:eastAsia="仿宋_GB2312" w:cs="仿宋_GB2312"/>
                <w:snapToGrid w:val="0"/>
                <w:color w:val="000000"/>
                <w:kern w:val="0"/>
                <w:sz w:val="24"/>
                <w:szCs w:val="24"/>
                <w:lang w:eastAsia="zh-CN"/>
              </w:rPr>
              <w:t>通过审核。</w:t>
            </w:r>
            <w:r>
              <w:rPr>
                <w:rFonts w:hint="eastAsia" w:ascii="仿宋_GB2312" w:hAnsi="仿宋_GB2312" w:eastAsia="仿宋_GB2312" w:cs="仿宋_GB2312"/>
                <w:snapToGrid w:val="0"/>
                <w:color w:val="000000"/>
                <w:kern w:val="0"/>
                <w:sz w:val="24"/>
                <w:szCs w:val="24"/>
              </w:rPr>
              <w:t>选择2份作为代表业绩。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26</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基本分m最高分值为20,根据业绩贡献大小给与0-20区间分值。附加分n最高分值</w:t>
            </w:r>
            <w:r>
              <w:rPr>
                <w:rFonts w:hint="eastAsia" w:ascii="仿宋_GB2312" w:hAnsi="仿宋_GB2312" w:eastAsia="仿宋_GB2312" w:cs="仿宋_GB2312"/>
                <w:snapToGrid w:val="0"/>
                <w:color w:val="000000"/>
                <w:kern w:val="0"/>
                <w:sz w:val="24"/>
                <w:szCs w:val="24"/>
                <w:lang w:val="en-US" w:eastAsia="zh-CN"/>
              </w:rPr>
              <w:t>6</w:t>
            </w:r>
            <w:r>
              <w:rPr>
                <w:rFonts w:hint="eastAsia" w:ascii="仿宋_GB2312" w:hAnsi="仿宋_GB2312" w:eastAsia="仿宋_GB2312" w:cs="仿宋_GB2312"/>
                <w:snapToGrid w:val="0"/>
                <w:color w:val="000000"/>
                <w:kern w:val="0"/>
                <w:sz w:val="24"/>
                <w:szCs w:val="24"/>
              </w:rPr>
              <w:t>分，根据2份代表业绩级别系数相加累计得出。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级别</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w:t>
            </w:r>
          </w:p>
        </w:tc>
        <w:tc>
          <w:tcPr>
            <w:tcW w:w="95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011"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73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系数</w:t>
            </w:r>
          </w:p>
        </w:tc>
        <w:tc>
          <w:tcPr>
            <w:tcW w:w="92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959"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011"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避灾安置场所或应急物资储备评估、规划、建设工作</w:t>
            </w:r>
          </w:p>
        </w:tc>
        <w:tc>
          <w:tcPr>
            <w:tcW w:w="129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完成乡镇级以上避灾安置场所或应急物资储备评估、规划、建设工作</w:t>
            </w:r>
          </w:p>
        </w:tc>
        <w:tc>
          <w:tcPr>
            <w:tcW w:w="22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为主完成乡镇级以上避灾安置场所或应急物资储备评估、规划、建设工作4项以上，并持续做好管理工作</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选择2份作为代表业绩。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26</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基本分m最高分值为20,根据业绩贡献大小给与0-20区间分值。附加分n最高分值</w:t>
            </w:r>
            <w:r>
              <w:rPr>
                <w:rFonts w:hint="eastAsia" w:ascii="仿宋_GB2312" w:hAnsi="仿宋_GB2312" w:eastAsia="仿宋_GB2312" w:cs="仿宋_GB2312"/>
                <w:snapToGrid w:val="0"/>
                <w:color w:val="000000"/>
                <w:kern w:val="0"/>
                <w:sz w:val="24"/>
                <w:szCs w:val="24"/>
                <w:lang w:val="en-US" w:eastAsia="zh-CN"/>
              </w:rPr>
              <w:t>6</w:t>
            </w:r>
            <w:r>
              <w:rPr>
                <w:rFonts w:hint="eastAsia" w:ascii="仿宋_GB2312" w:hAnsi="仿宋_GB2312" w:eastAsia="仿宋_GB2312" w:cs="仿宋_GB2312"/>
                <w:snapToGrid w:val="0"/>
                <w:color w:val="000000"/>
                <w:kern w:val="0"/>
                <w:sz w:val="24"/>
                <w:szCs w:val="24"/>
              </w:rPr>
              <w:t>分，根据2份代表业绩级别系数相加累计得出。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79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级别</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w:t>
            </w:r>
          </w:p>
        </w:tc>
        <w:tc>
          <w:tcPr>
            <w:tcW w:w="67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795"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c>
          <w:tcPr>
            <w:tcW w:w="64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79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系数</w:t>
            </w:r>
          </w:p>
        </w:tc>
        <w:tc>
          <w:tcPr>
            <w:tcW w:w="7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675"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795"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64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113"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9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岗位业绩</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附加分</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分，评分时选取1项二级指标进行打分，选定后其他二级指标空项</w:t>
            </w:r>
            <w:r>
              <w:rPr>
                <w:rFonts w:hint="eastAsia" w:ascii="仿宋_GB2312" w:hAnsi="仿宋_GB2312" w:eastAsia="仿宋_GB2312" w:cs="仿宋_GB2312"/>
                <w:snapToGrid w:val="0"/>
                <w:color w:val="000000"/>
                <w:kern w:val="0"/>
                <w:sz w:val="24"/>
                <w:szCs w:val="24"/>
                <w:lang w:eastAsia="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编制自然灾害防御工作指南、案例库或防灾减灾总体规划、避灾安置场所、应急物资等专项规划</w:t>
            </w:r>
          </w:p>
        </w:tc>
        <w:tc>
          <w:tcPr>
            <w:tcW w:w="129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自然灾害防御工作指南、案例库或县级以上防灾减灾总体规划、避灾安置场所、应急物资等专项规划编制工作</w:t>
            </w: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项以上,并</w:t>
            </w:r>
            <w:r>
              <w:rPr>
                <w:rFonts w:hint="eastAsia" w:ascii="仿宋_GB2312" w:hAnsi="仿宋_GB2312" w:eastAsia="仿宋_GB2312" w:cs="仿宋_GB2312"/>
                <w:snapToGrid w:val="0"/>
                <w:color w:val="000000"/>
                <w:kern w:val="0"/>
                <w:sz w:val="24"/>
                <w:szCs w:val="24"/>
                <w:lang w:eastAsia="zh-CN"/>
              </w:rPr>
              <w:t>推广应用。</w:t>
            </w:r>
            <w:r>
              <w:rPr>
                <w:rFonts w:hint="eastAsia" w:ascii="仿宋_GB2312" w:hAnsi="仿宋_GB2312" w:eastAsia="仿宋_GB2312" w:cs="仿宋_GB2312"/>
                <w:snapToGrid w:val="0"/>
                <w:color w:val="000000"/>
                <w:kern w:val="0"/>
                <w:sz w:val="24"/>
                <w:szCs w:val="24"/>
              </w:rPr>
              <w:t>选择1项作为代表业绩。</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4</w:t>
            </w:r>
          </w:p>
        </w:tc>
        <w:tc>
          <w:tcPr>
            <w:tcW w:w="139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m最高分值为</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,根据业绩贡献大小给与0-</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分区间分值。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自然灾害灾情调查、核查</w:t>
            </w:r>
          </w:p>
        </w:tc>
        <w:tc>
          <w:tcPr>
            <w:tcW w:w="129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自然灾害灾情调查、核查工作</w:t>
            </w:r>
          </w:p>
        </w:tc>
        <w:tc>
          <w:tcPr>
            <w:tcW w:w="22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完成自然灾害灾情调查、核查3项以上，并</w:t>
            </w:r>
            <w:r>
              <w:rPr>
                <w:rFonts w:hint="eastAsia" w:ascii="仿宋_GB2312" w:hAnsi="仿宋_GB2312" w:eastAsia="仿宋_GB2312" w:cs="仿宋_GB2312"/>
                <w:snapToGrid w:val="0"/>
                <w:color w:val="000000"/>
                <w:kern w:val="0"/>
                <w:sz w:val="24"/>
                <w:szCs w:val="24"/>
                <w:lang w:eastAsia="zh-CN"/>
              </w:rPr>
              <w:t>形成调查报告。</w:t>
            </w:r>
            <w:r>
              <w:rPr>
                <w:rFonts w:hint="eastAsia" w:ascii="仿宋_GB2312" w:hAnsi="仿宋_GB2312" w:eastAsia="仿宋_GB2312" w:cs="仿宋_GB2312"/>
                <w:snapToGrid w:val="0"/>
                <w:color w:val="000000"/>
                <w:kern w:val="0"/>
                <w:sz w:val="24"/>
                <w:szCs w:val="24"/>
              </w:rPr>
              <w:t>选择1项作为代表业绩。</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自然灾害综合监测预警</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完成自然灾害信息的接收、综合分析研判、报送工作</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次以上自然灾害综合监测预警工作，并</w:t>
            </w:r>
            <w:r>
              <w:rPr>
                <w:rFonts w:hint="eastAsia" w:ascii="仿宋_GB2312" w:hAnsi="仿宋_GB2312" w:eastAsia="仿宋_GB2312" w:cs="仿宋_GB2312"/>
                <w:snapToGrid w:val="0"/>
                <w:color w:val="000000"/>
                <w:kern w:val="0"/>
                <w:sz w:val="24"/>
                <w:szCs w:val="24"/>
                <w:lang w:eastAsia="zh-CN"/>
              </w:rPr>
              <w:t>形成相应的综合分析报告。</w:t>
            </w:r>
            <w:r>
              <w:rPr>
                <w:rFonts w:hint="eastAsia" w:ascii="仿宋_GB2312" w:hAnsi="仿宋_GB2312" w:eastAsia="仿宋_GB2312" w:cs="仿宋_GB2312"/>
                <w:snapToGrid w:val="0"/>
                <w:color w:val="000000"/>
                <w:kern w:val="0"/>
                <w:sz w:val="24"/>
                <w:szCs w:val="24"/>
              </w:rPr>
              <w:t>选择1份作为代表业绩。</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科研项目</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参与完成县级以上科研项目2项以上，并通过评审、验收。</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排名前三</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5</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项目需要经过验收或鉴定;n指经专家认定项目数。不同项目分数可以累计计分。主要考核该项目的实用性、经济效益和社会效益以及成果转化或进一步研究价值。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开发或推广新技术、新方法</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参与开发或推广防灾减灾新技术、新方法等项目1项以上，成效显著</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获奖情况</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奖项的主要参与者或所从事技术工作达区域内先进水平，取得良好社会和经济效益。</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省级及以上</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区县级</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获得防灾减灾领域相关专利或软件著作权1项以上</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val="en-US"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相关</w:t>
            </w:r>
            <w:r>
              <w:rPr>
                <w:rFonts w:hint="eastAsia" w:ascii="仿宋_GB2312" w:hAnsi="仿宋_GB2312" w:eastAsia="仿宋_GB2312" w:cs="仿宋_GB2312"/>
                <w:snapToGrid w:val="0"/>
                <w:color w:val="000000"/>
                <w:kern w:val="0"/>
                <w:sz w:val="24"/>
                <w:szCs w:val="24"/>
              </w:rPr>
              <w:t>专利</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第一发明人</w:t>
            </w: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n为经专家认可产生实际效益的专利数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主要发明人</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软件著作权登记</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排名第一</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单位或专利代理事务所盖章为准，n为经专家认定产生实际效益的数。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排名前五</w:t>
            </w: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0.5</w:t>
            </w:r>
            <w:r>
              <w:rPr>
                <w:rFonts w:hint="eastAsia" w:ascii="仿宋_GB2312" w:hAnsi="仿宋_GB2312" w:eastAsia="仿宋_GB2312" w:cs="仿宋_GB2312"/>
                <w:snapToGrid w:val="0"/>
                <w:color w:val="000000"/>
                <w:kern w:val="0"/>
                <w:sz w:val="24"/>
                <w:szCs w:val="24"/>
              </w:rPr>
              <w:t>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参与完成设区市</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厅</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级以上标准/规程/规范1项以上，并颁布实施</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国家、行业</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3n</w:t>
            </w:r>
          </w:p>
        </w:tc>
        <w:tc>
          <w:tcPr>
            <w:tcW w:w="3630" w:type="dxa"/>
            <w:gridSpan w:val="9"/>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n为编制数，有正式文件为据。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地市级</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团体</w:t>
            </w:r>
          </w:p>
        </w:tc>
        <w:tc>
          <w:tcPr>
            <w:tcW w:w="12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5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0.5n</w:t>
            </w:r>
          </w:p>
        </w:tc>
        <w:tc>
          <w:tcPr>
            <w:tcW w:w="3630" w:type="dxa"/>
            <w:gridSpan w:val="9"/>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论文著作</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分</w:t>
            </w:r>
            <w:r>
              <w:rPr>
                <w:rFonts w:hint="eastAsia" w:ascii="仿宋_GB2312" w:hAnsi="仿宋_GB2312" w:eastAsia="仿宋_GB2312" w:cs="仿宋_GB2312"/>
                <w:snapToGrid w:val="0"/>
                <w:color w:val="000000"/>
                <w:kern w:val="0"/>
                <w:sz w:val="24"/>
                <w:szCs w:val="24"/>
                <w:lang w:eastAsia="zh-CN"/>
              </w:rPr>
              <w:t>）</w:t>
            </w: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著作</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编著、教材、译著</w:t>
            </w:r>
          </w:p>
        </w:tc>
        <w:tc>
          <w:tcPr>
            <w:tcW w:w="12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专著</w:t>
            </w: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主编/第一作者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3</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指任现职后工作期间发表的论文、专著，n为经专家认定的数。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参编/其他作者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SCI</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EI、ISTP</w:t>
            </w: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第一作者或通讯作者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第二至五作者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核心期刊</w:t>
            </w: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第一作者或通讯作者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2</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rPr>
              <w:t>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第二、三作者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rPr>
              <w:t>0.5n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567" w:hRule="atLeast"/>
        </w:trPr>
        <w:tc>
          <w:tcPr>
            <w:tcW w:w="111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7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79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公开发表的学术期刊</w:t>
            </w:r>
          </w:p>
        </w:tc>
        <w:tc>
          <w:tcPr>
            <w:tcW w:w="12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23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第一作者或通讯作者</w:t>
            </w:r>
          </w:p>
        </w:tc>
        <w:tc>
          <w:tcPr>
            <w:tcW w:w="85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1</w:t>
            </w:r>
          </w:p>
        </w:tc>
        <w:tc>
          <w:tcPr>
            <w:tcW w:w="139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rPr>
              <w:t>0.5n</w:t>
            </w:r>
          </w:p>
        </w:tc>
        <w:tc>
          <w:tcPr>
            <w:tcW w:w="3630" w:type="dxa"/>
            <w:gridSpan w:val="9"/>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3512" w:type="dxa"/>
            <w:gridSpan w:val="18"/>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备注：评价指标和各级指标有最高得分值，某项得分超过指标所设定的最高分，按最高分计算该项得分。</w:t>
            </w:r>
          </w:p>
        </w:tc>
      </w:tr>
    </w:tbl>
    <w:p>
      <w:pPr>
        <w:pStyle w:val="6"/>
        <w:ind w:left="0" w:leftChars="0" w:firstLine="0" w:firstLineChars="0"/>
        <w:sectPr>
          <w:pgSz w:w="16838" w:h="11906" w:orient="landscape"/>
          <w:pgMar w:top="1531" w:right="1701" w:bottom="1531" w:left="1701" w:header="851" w:footer="992" w:gutter="0"/>
          <w:pgNumType w:fmt="decimal"/>
          <w:cols w:space="0" w:num="1"/>
          <w:rtlGutter w:val="0"/>
          <w:docGrid w:type="lines" w:linePitch="312" w:charSpace="0"/>
        </w:sectPr>
      </w:pPr>
    </w:p>
    <w:p>
      <w:pPr>
        <w:pStyle w:val="6"/>
        <w:ind w:left="0" w:leftChars="0" w:firstLine="0" w:firstLineChars="0"/>
        <w:rPr>
          <w:rFonts w:hint="eastAsia" w:ascii="黑体" w:hAnsi="黑体" w:eastAsia="黑体" w:cs="黑体"/>
        </w:rPr>
      </w:pPr>
      <w:r>
        <w:rPr>
          <w:rFonts w:hint="eastAsia" w:ascii="黑体" w:hAnsi="黑体" w:eastAsia="黑体" w:cs="黑体"/>
        </w:rPr>
        <w:t>附件3</w:t>
      </w:r>
    </w:p>
    <w:p>
      <w:pPr>
        <w:pStyle w:val="6"/>
        <w:rPr>
          <w:rFonts w:hint="eastAsia" w:ascii="黑体" w:hAnsi="黑体" w:eastAsia="黑体" w:cs="黑体"/>
        </w:rPr>
      </w:pPr>
    </w:p>
    <w:p>
      <w:pPr>
        <w:pStyle w:val="3"/>
        <w:bidi w:val="0"/>
        <w:rPr>
          <w:rFonts w:hint="eastAsia"/>
        </w:rPr>
      </w:pPr>
      <w:r>
        <w:rPr>
          <w:rFonts w:hint="eastAsia"/>
        </w:rPr>
        <w:t>台州市应急救援领域工程师职务任职资格</w:t>
      </w:r>
    </w:p>
    <w:p>
      <w:pPr>
        <w:pStyle w:val="3"/>
        <w:bidi w:val="0"/>
        <w:rPr>
          <w:rFonts w:hint="eastAsia"/>
        </w:rPr>
      </w:pPr>
      <w:r>
        <w:rPr>
          <w:rFonts w:hint="eastAsia"/>
        </w:rPr>
        <w:t>评价条件（试行）</w:t>
      </w:r>
    </w:p>
    <w:p>
      <w:pPr>
        <w:pStyle w:val="6"/>
        <w:rPr>
          <w:rFonts w:hint="eastAsia"/>
        </w:rPr>
      </w:pPr>
    </w:p>
    <w:p>
      <w:pPr>
        <w:pStyle w:val="19"/>
        <w:bidi w:val="0"/>
        <w:rPr>
          <w:rFonts w:hint="eastAsia"/>
        </w:rPr>
      </w:pPr>
      <w:r>
        <w:rPr>
          <w:rFonts w:hint="eastAsia"/>
        </w:rPr>
        <w:t>第一章  总  则</w:t>
      </w:r>
    </w:p>
    <w:p>
      <w:pPr>
        <w:pStyle w:val="6"/>
        <w:rPr>
          <w:rFonts w:hint="eastAsia"/>
        </w:rPr>
      </w:pPr>
      <w:r>
        <w:rPr>
          <w:rFonts w:hint="eastAsia"/>
          <w:b/>
          <w:bCs/>
        </w:rPr>
        <w:t xml:space="preserve">第一条  </w:t>
      </w:r>
      <w:r>
        <w:rPr>
          <w:rFonts w:hint="eastAsia"/>
        </w:rPr>
        <w:t>为客观公正评价应急救援领域技术人员的能力和水平，完善应急救援领域人才选拔机制，促进应急救援领域技术人才队伍整体素质提高，根据中央和省委有关深化职称制度改革意见，结合实际，制定本评价条件。</w:t>
      </w:r>
    </w:p>
    <w:p>
      <w:pPr>
        <w:pStyle w:val="6"/>
        <w:rPr>
          <w:rFonts w:hint="eastAsia"/>
        </w:rPr>
      </w:pPr>
      <w:r>
        <w:rPr>
          <w:rFonts w:hint="eastAsia"/>
          <w:b/>
          <w:bCs/>
        </w:rPr>
        <w:t xml:space="preserve">第二条  </w:t>
      </w:r>
      <w:r>
        <w:rPr>
          <w:rFonts w:hint="eastAsia"/>
        </w:rPr>
        <w:t>本评价条件适用于我市从事应急救援管理与指挥、应急救援技术等工作的专业技术人员申报工程师职务任职资格，其中事业单位人员应按照评聘结合原则执行。</w:t>
      </w:r>
    </w:p>
    <w:p>
      <w:pPr>
        <w:pStyle w:val="6"/>
        <w:rPr>
          <w:rFonts w:hint="eastAsia"/>
        </w:rPr>
      </w:pPr>
      <w:r>
        <w:rPr>
          <w:rFonts w:hint="eastAsia"/>
          <w:b/>
          <w:bCs/>
        </w:rPr>
        <w:t>（一）应急救援管理与指挥相关工作：</w:t>
      </w:r>
      <w:r>
        <w:rPr>
          <w:rFonts w:hint="eastAsia"/>
        </w:rPr>
        <w:t>指从事应急救援现场处置管理与应急指挥调度，应急救援标准制修订，应急救援预案编制，应急救援演练评估等工作。</w:t>
      </w:r>
    </w:p>
    <w:p>
      <w:pPr>
        <w:pStyle w:val="6"/>
        <w:rPr>
          <w:rFonts w:hint="eastAsia"/>
        </w:rPr>
      </w:pPr>
      <w:r>
        <w:rPr>
          <w:rFonts w:hint="eastAsia"/>
          <w:b/>
          <w:bCs/>
        </w:rPr>
        <w:t>（二）应急救援技术相关工作：</w:t>
      </w:r>
      <w:r>
        <w:rPr>
          <w:rFonts w:hint="eastAsia"/>
        </w:rPr>
        <w:t>指从事陆地搜索与救援、危险化学品应急救援、矿山（隧道）救援、水域搜索与救援、地质灾害应急救援、森林火灾扑救等应急救援工作，应急救援技术指导，应急救援新技术、新方法开发与推广等工作。</w:t>
      </w:r>
    </w:p>
    <w:p>
      <w:pPr>
        <w:pStyle w:val="6"/>
        <w:rPr>
          <w:rFonts w:hint="eastAsia"/>
        </w:rPr>
      </w:pPr>
      <w:r>
        <w:rPr>
          <w:rFonts w:hint="eastAsia"/>
          <w:b/>
          <w:bCs/>
        </w:rPr>
        <w:t xml:space="preserve">第三条 </w:t>
      </w:r>
      <w:r>
        <w:rPr>
          <w:rFonts w:hint="eastAsia"/>
        </w:rPr>
        <w:t xml:space="preserve"> 按照本评价条件通过评审，获得应急救援领域工程师职务任职资格的人员，表明其具有相应的专业技术和学术水平，是聘任应急救援领域工程师职务的重要依据。</w:t>
      </w:r>
    </w:p>
    <w:p>
      <w:pPr>
        <w:pStyle w:val="19"/>
        <w:bidi w:val="0"/>
        <w:rPr>
          <w:rFonts w:hint="eastAsia"/>
        </w:rPr>
      </w:pPr>
      <w:r>
        <w:rPr>
          <w:rFonts w:hint="eastAsia"/>
        </w:rPr>
        <w:t>第二章  申报基本条件</w:t>
      </w:r>
    </w:p>
    <w:p>
      <w:pPr>
        <w:pStyle w:val="6"/>
        <w:rPr>
          <w:rFonts w:hint="eastAsia"/>
        </w:rPr>
      </w:pPr>
      <w:r>
        <w:rPr>
          <w:rFonts w:hint="eastAsia"/>
          <w:b/>
          <w:bCs/>
        </w:rPr>
        <w:t xml:space="preserve">第四条  </w:t>
      </w:r>
      <w:r>
        <w:rPr>
          <w:rFonts w:hint="eastAsia"/>
        </w:rPr>
        <w:t>申报人员应当遵守《中华人民共和国宪法》和法律法规，拥护中国共产党的领导，坚持党的路线方针政策，坚持社会主义核心价值观，热爱应急救援工作，认真履行岗位职责，具有良好的职业道德、学术修养和敬业精神，积极为应急救援事业服务。</w:t>
      </w:r>
    </w:p>
    <w:p>
      <w:pPr>
        <w:pStyle w:val="6"/>
        <w:rPr>
          <w:rFonts w:hint="eastAsia"/>
        </w:rPr>
      </w:pPr>
      <w:r>
        <w:rPr>
          <w:rFonts w:hint="eastAsia"/>
          <w:b/>
          <w:bCs/>
        </w:rPr>
        <w:t xml:space="preserve">第五条 </w:t>
      </w:r>
      <w:r>
        <w:rPr>
          <w:rFonts w:hint="eastAsia"/>
        </w:rPr>
        <w:t xml:space="preserve"> 符合下列条件之一者，可申报工程师职务任职资格：</w:t>
      </w:r>
    </w:p>
    <w:p>
      <w:pPr>
        <w:pStyle w:val="6"/>
        <w:rPr>
          <w:rFonts w:hint="eastAsia"/>
        </w:rPr>
      </w:pPr>
      <w:r>
        <w:rPr>
          <w:rFonts w:hint="eastAsia"/>
        </w:rPr>
        <w:t>（一）获得相应理、工、农、医学科大学专科以上学历，取得助理工程师职务任职资格后，实际聘任助理工程师职务4年以上。</w:t>
      </w:r>
    </w:p>
    <w:p>
      <w:pPr>
        <w:pStyle w:val="6"/>
        <w:rPr>
          <w:rFonts w:hint="eastAsia"/>
        </w:rPr>
      </w:pPr>
      <w:r>
        <w:rPr>
          <w:rFonts w:hint="eastAsia"/>
        </w:rPr>
        <w:t>（二）获得相应理、工、农、医学科硕士学位或第二学士学位，取得助理工程师职务任职资格后，实际聘任助理工程师职务2年以上。</w:t>
      </w:r>
    </w:p>
    <w:p>
      <w:pPr>
        <w:pStyle w:val="6"/>
        <w:rPr>
          <w:rFonts w:hint="eastAsia"/>
        </w:rPr>
      </w:pPr>
      <w:r>
        <w:rPr>
          <w:rFonts w:hint="eastAsia"/>
        </w:rPr>
        <w:t>（三）获得应急救援类技师职业资格后，从事应急救援工作3年以上。</w:t>
      </w:r>
    </w:p>
    <w:p>
      <w:pPr>
        <w:pStyle w:val="6"/>
        <w:rPr>
          <w:rFonts w:hint="eastAsia"/>
        </w:rPr>
      </w:pPr>
      <w:r>
        <w:rPr>
          <w:rFonts w:hint="eastAsia"/>
        </w:rPr>
        <w:t>（四）任其他中级专业技术职务的人员，因岗位变动，需转评应急救援领域工程师职务任职资格的，应从事应急救援领域专业技术工作1年以上。</w:t>
      </w:r>
    </w:p>
    <w:p>
      <w:pPr>
        <w:pStyle w:val="6"/>
        <w:rPr>
          <w:rFonts w:hint="eastAsia"/>
        </w:rPr>
      </w:pPr>
      <w:r>
        <w:rPr>
          <w:rFonts w:hint="eastAsia"/>
          <w:b/>
          <w:bCs/>
        </w:rPr>
        <w:t>第六条</w:t>
      </w:r>
      <w:r>
        <w:rPr>
          <w:rFonts w:hint="eastAsia"/>
        </w:rPr>
        <w:t xml:space="preserve">  下列人员经考核合格，可初定工程师职务任职资格：</w:t>
      </w:r>
    </w:p>
    <w:p>
      <w:pPr>
        <w:pStyle w:val="6"/>
        <w:rPr>
          <w:rFonts w:hint="eastAsia"/>
        </w:rPr>
      </w:pPr>
      <w:r>
        <w:rPr>
          <w:rFonts w:hint="eastAsia"/>
        </w:rPr>
        <w:t>（一）具有相应理、工、农、医学科研究生学历或硕士学位者，从事专业工作满3年（学历或学位取得前后从事应急救援领域的工作年限可以相加，但学历或学位取得后从事专业工作须满1年）。</w:t>
      </w:r>
    </w:p>
    <w:p>
      <w:pPr>
        <w:pStyle w:val="6"/>
        <w:rPr>
          <w:rFonts w:hint="eastAsia"/>
        </w:rPr>
      </w:pPr>
      <w:r>
        <w:rPr>
          <w:rFonts w:hint="eastAsia"/>
        </w:rPr>
        <w:t>（二）具有相应理、工、农、医学科博士学位者。</w:t>
      </w:r>
    </w:p>
    <w:p>
      <w:pPr>
        <w:pStyle w:val="6"/>
        <w:rPr>
          <w:rFonts w:hint="eastAsia"/>
        </w:rPr>
      </w:pPr>
      <w:r>
        <w:rPr>
          <w:rFonts w:hint="eastAsia"/>
          <w:b/>
          <w:bCs/>
        </w:rPr>
        <w:t xml:space="preserve">第七条 </w:t>
      </w:r>
      <w:r>
        <w:rPr>
          <w:rFonts w:hint="eastAsia"/>
        </w:rPr>
        <w:t xml:space="preserve"> 取得以下业绩成果之一的，可直接申报工程师职务任职资格：</w:t>
      </w:r>
    </w:p>
    <w:p>
      <w:pPr>
        <w:pStyle w:val="6"/>
        <w:rPr>
          <w:rFonts w:hint="eastAsia"/>
        </w:rPr>
      </w:pPr>
      <w:r>
        <w:rPr>
          <w:rFonts w:hint="eastAsia"/>
        </w:rPr>
        <w:t>（一）获得应急救援领域世界技能大赛优胜奖。</w:t>
      </w:r>
    </w:p>
    <w:p>
      <w:pPr>
        <w:pStyle w:val="6"/>
        <w:rPr>
          <w:rFonts w:hint="eastAsia"/>
        </w:rPr>
      </w:pPr>
      <w:r>
        <w:rPr>
          <w:rFonts w:hint="eastAsia"/>
        </w:rPr>
        <w:t>（二）应急救援领域国家级一类技能竞赛前五名、国家级二类技能竞赛前三名。</w:t>
      </w:r>
    </w:p>
    <w:p>
      <w:pPr>
        <w:pStyle w:val="6"/>
        <w:rPr>
          <w:rFonts w:hint="eastAsia"/>
        </w:rPr>
      </w:pPr>
      <w:r>
        <w:rPr>
          <w:rFonts w:hint="eastAsia"/>
        </w:rPr>
        <w:t>（三）入选应急救援领域“拔尖技能人才”等人员。</w:t>
      </w:r>
    </w:p>
    <w:p>
      <w:pPr>
        <w:pStyle w:val="6"/>
        <w:rPr>
          <w:rFonts w:hint="eastAsia"/>
        </w:rPr>
      </w:pPr>
      <w:r>
        <w:rPr>
          <w:rFonts w:hint="eastAsia"/>
        </w:rPr>
        <w:t>（四）在应急救援技术领域做出较大贡献或突出成就获得省（部）级先进个人或个人三等功的人员。</w:t>
      </w:r>
    </w:p>
    <w:p>
      <w:pPr>
        <w:pStyle w:val="6"/>
        <w:rPr>
          <w:rFonts w:hint="eastAsia"/>
        </w:rPr>
      </w:pPr>
      <w:r>
        <w:rPr>
          <w:rFonts w:hint="eastAsia"/>
          <w:b/>
          <w:bCs/>
        </w:rPr>
        <w:t xml:space="preserve">第八条 </w:t>
      </w:r>
      <w:r>
        <w:rPr>
          <w:rFonts w:hint="eastAsia"/>
        </w:rPr>
        <w:t xml:space="preserve"> 申报工程师职务任职资格的，近4年年度考核为合格（或称职）以上等次。</w:t>
      </w:r>
    </w:p>
    <w:p>
      <w:pPr>
        <w:pStyle w:val="6"/>
        <w:rPr>
          <w:rFonts w:hint="eastAsia"/>
        </w:rPr>
      </w:pPr>
      <w:r>
        <w:rPr>
          <w:rFonts w:hint="eastAsia"/>
          <w:b/>
          <w:bCs/>
        </w:rPr>
        <w:t xml:space="preserve">第九条  </w:t>
      </w:r>
      <w:r>
        <w:rPr>
          <w:rFonts w:hint="eastAsia"/>
        </w:rPr>
        <w:t>申报评审应急救援领域工程师职务任职资格的，应当按照《浙江省应急管理专业技术人员继续教育学时登记细则》规定完成继续教育学习。</w:t>
      </w:r>
    </w:p>
    <w:p>
      <w:pPr>
        <w:pStyle w:val="19"/>
        <w:bidi w:val="0"/>
        <w:rPr>
          <w:rFonts w:hint="eastAsia"/>
        </w:rPr>
      </w:pPr>
      <w:r>
        <w:rPr>
          <w:rFonts w:hint="eastAsia"/>
        </w:rPr>
        <w:t>第三章评审条件</w:t>
      </w:r>
    </w:p>
    <w:p>
      <w:pPr>
        <w:pStyle w:val="6"/>
        <w:rPr>
          <w:rFonts w:hint="eastAsia"/>
        </w:rPr>
      </w:pPr>
      <w:r>
        <w:rPr>
          <w:rFonts w:hint="eastAsia"/>
          <w:b/>
          <w:bCs/>
        </w:rPr>
        <w:t xml:space="preserve">第十条  </w:t>
      </w:r>
      <w:r>
        <w:rPr>
          <w:rFonts w:hint="eastAsia"/>
        </w:rPr>
        <w:t>申报应急救援领域工程师职务任职资格人员应达到的评审条件：</w:t>
      </w:r>
    </w:p>
    <w:p>
      <w:pPr>
        <w:pStyle w:val="6"/>
        <w:rPr>
          <w:rFonts w:hint="eastAsia"/>
          <w:b/>
          <w:bCs/>
        </w:rPr>
      </w:pPr>
      <w:r>
        <w:rPr>
          <w:rFonts w:hint="eastAsia"/>
          <w:b/>
          <w:bCs/>
        </w:rPr>
        <w:t>（一）专业理论知识</w:t>
      </w:r>
    </w:p>
    <w:p>
      <w:pPr>
        <w:pStyle w:val="6"/>
        <w:rPr>
          <w:rFonts w:hint="eastAsia"/>
        </w:rPr>
      </w:pPr>
      <w:r>
        <w:rPr>
          <w:rFonts w:hint="eastAsia"/>
        </w:rPr>
        <w:t>较系统地掌握应急救援领域的基础理论知识和专业技术知识，能较熟练地运用应急救援领域的技术标准、规范和规程，了解应急救援领域国内外技术现状和发展趋势。</w:t>
      </w:r>
    </w:p>
    <w:p>
      <w:pPr>
        <w:pStyle w:val="6"/>
        <w:rPr>
          <w:rFonts w:hint="eastAsia"/>
          <w:b/>
          <w:bCs/>
        </w:rPr>
      </w:pPr>
      <w:r>
        <w:rPr>
          <w:rFonts w:hint="eastAsia"/>
          <w:b/>
          <w:bCs/>
        </w:rPr>
        <w:t>（二）专业技术工作经历与能力</w:t>
      </w:r>
    </w:p>
    <w:p>
      <w:pPr>
        <w:pStyle w:val="6"/>
        <w:rPr>
          <w:rFonts w:hint="eastAsia"/>
        </w:rPr>
      </w:pPr>
      <w:r>
        <w:rPr>
          <w:rFonts w:hint="eastAsia"/>
        </w:rPr>
        <w:t>具有运用应急救援领域的理论和现有技术成果，开展安全生产类、自然灾害类等突发事件应急救援，应急救援技术指导，或应急救援新技术、新方法开发或推广的经历和能力。</w:t>
      </w:r>
    </w:p>
    <w:p>
      <w:pPr>
        <w:pStyle w:val="6"/>
        <w:rPr>
          <w:rFonts w:hint="eastAsia"/>
          <w:b/>
          <w:bCs/>
        </w:rPr>
      </w:pPr>
      <w:r>
        <w:rPr>
          <w:rFonts w:hint="eastAsia"/>
          <w:b/>
          <w:bCs/>
        </w:rPr>
        <w:t>（三）专业技术工作业绩与成果</w:t>
      </w:r>
    </w:p>
    <w:p>
      <w:pPr>
        <w:pStyle w:val="6"/>
        <w:rPr>
          <w:rFonts w:hint="eastAsia"/>
        </w:rPr>
      </w:pPr>
      <w:r>
        <w:rPr>
          <w:rFonts w:hint="eastAsia"/>
        </w:rPr>
        <w:t>任助理工程师期间，应至少具备下列条件之一：</w:t>
      </w:r>
    </w:p>
    <w:p>
      <w:pPr>
        <w:pStyle w:val="6"/>
        <w:rPr>
          <w:rFonts w:hint="eastAsia"/>
        </w:rPr>
      </w:pPr>
      <w:r>
        <w:rPr>
          <w:rFonts w:hint="eastAsia"/>
        </w:rPr>
        <w:t>1.参与完成设区市（厅）级以上标准/规程/规范1项以上，并颁布实施。</w:t>
      </w:r>
    </w:p>
    <w:p>
      <w:pPr>
        <w:pStyle w:val="6"/>
        <w:rPr>
          <w:rFonts w:hint="eastAsia"/>
        </w:rPr>
      </w:pPr>
      <w:r>
        <w:rPr>
          <w:rFonts w:hint="eastAsia"/>
        </w:rPr>
        <w:t>2.作为救援队伍专业技术人员参与安全生产类、自然灾害类突发事件的应急处置工作，完成建筑物坍塌搜索与救援、或山地（绳索）救援、或危险化学品应急救援、或矿山（隧道）救援、或水域搜索与救援、或地质灾害应急救援、或森林火灾扑救等相关救援工作8次以上（其中较大以上灾害事故4次、或重大以上灾害事故2次）,应急救援分类详见附件。</w:t>
      </w:r>
    </w:p>
    <w:p>
      <w:pPr>
        <w:pStyle w:val="6"/>
        <w:rPr>
          <w:rFonts w:hint="eastAsia"/>
        </w:rPr>
      </w:pPr>
      <w:r>
        <w:rPr>
          <w:rFonts w:hint="eastAsia"/>
        </w:rPr>
        <w:t>3.参与完成县级以上总体应急预案或安全生产类、自然灾害类专项应急预案编制5项以上，并颁布实施。</w:t>
      </w:r>
    </w:p>
    <w:p>
      <w:pPr>
        <w:pStyle w:val="6"/>
        <w:rPr>
          <w:rFonts w:hint="eastAsia"/>
        </w:rPr>
      </w:pPr>
      <w:r>
        <w:rPr>
          <w:rFonts w:hint="eastAsia"/>
        </w:rPr>
        <w:t>4.参与组织策划完成县级以上安全生产类、自然灾害类专项应急预案演练10项以上，并形成演练评估总结报告。</w:t>
      </w:r>
    </w:p>
    <w:p>
      <w:pPr>
        <w:pStyle w:val="6"/>
        <w:rPr>
          <w:rFonts w:hint="eastAsia"/>
        </w:rPr>
      </w:pPr>
      <w:r>
        <w:rPr>
          <w:rFonts w:hint="eastAsia"/>
        </w:rPr>
        <w:t>5.作为应急救援队伍专业技术人员，为社会公众提供应急救援技术培训、指导，累计授课300课时。</w:t>
      </w:r>
    </w:p>
    <w:p>
      <w:pPr>
        <w:pStyle w:val="6"/>
        <w:rPr>
          <w:rFonts w:hint="eastAsia"/>
        </w:rPr>
      </w:pPr>
      <w:r>
        <w:rPr>
          <w:rFonts w:hint="eastAsia"/>
        </w:rPr>
        <w:t>6.参与完成县级以上科研项目2项以上，并通过评审、验收。</w:t>
      </w:r>
    </w:p>
    <w:p>
      <w:pPr>
        <w:pStyle w:val="6"/>
        <w:rPr>
          <w:rFonts w:hint="eastAsia"/>
        </w:rPr>
      </w:pPr>
      <w:r>
        <w:rPr>
          <w:rFonts w:hint="eastAsia"/>
        </w:rPr>
        <w:t>7.参与开发应急救援新技术、新方法等项目1项以上;或参与成功推广应用项目2项以上，成效显著。</w:t>
      </w:r>
    </w:p>
    <w:p>
      <w:pPr>
        <w:pStyle w:val="6"/>
        <w:rPr>
          <w:rFonts w:hint="eastAsia"/>
        </w:rPr>
      </w:pPr>
      <w:r>
        <w:rPr>
          <w:rFonts w:hint="eastAsia"/>
        </w:rPr>
        <w:t>8.获得市（厅）级以上应急救援竞赛项目个人一等奖1项以上。</w:t>
      </w:r>
    </w:p>
    <w:p>
      <w:pPr>
        <w:pStyle w:val="6"/>
        <w:rPr>
          <w:rFonts w:hint="eastAsia"/>
        </w:rPr>
      </w:pPr>
      <w:r>
        <w:rPr>
          <w:rFonts w:hint="eastAsia"/>
        </w:rPr>
        <w:t>9.获得应急救援领域相关专利或软件著作权1项以上。</w:t>
      </w:r>
    </w:p>
    <w:p>
      <w:pPr>
        <w:pStyle w:val="6"/>
        <w:rPr>
          <w:rFonts w:hint="eastAsia"/>
          <w:b/>
          <w:bCs/>
        </w:rPr>
      </w:pPr>
      <w:r>
        <w:rPr>
          <w:rFonts w:hint="eastAsia"/>
          <w:b/>
          <w:bCs/>
        </w:rPr>
        <w:t>（四）论文、著作条件</w:t>
      </w:r>
    </w:p>
    <w:p>
      <w:pPr>
        <w:pStyle w:val="6"/>
        <w:rPr>
          <w:rFonts w:hint="eastAsia"/>
        </w:rPr>
      </w:pPr>
      <w:r>
        <w:rPr>
          <w:rFonts w:hint="eastAsia"/>
        </w:rPr>
        <w:t>在全国公开发行的专业期刊或省、部级以上专业性学术会议上发表过论文，或出版过有一定学术水平的专著或译著。</w:t>
      </w:r>
    </w:p>
    <w:p>
      <w:pPr>
        <w:pStyle w:val="19"/>
        <w:bidi w:val="0"/>
        <w:rPr>
          <w:rFonts w:hint="eastAsia"/>
        </w:rPr>
      </w:pPr>
      <w:r>
        <w:rPr>
          <w:rFonts w:hint="eastAsia"/>
        </w:rPr>
        <w:t>第四章 附 则</w:t>
      </w:r>
    </w:p>
    <w:p>
      <w:pPr>
        <w:pStyle w:val="6"/>
        <w:rPr>
          <w:rFonts w:hint="eastAsia"/>
        </w:rPr>
      </w:pPr>
      <w:r>
        <w:rPr>
          <w:rFonts w:hint="eastAsia"/>
          <w:b/>
          <w:bCs/>
        </w:rPr>
        <w:t xml:space="preserve">第十一条 </w:t>
      </w:r>
      <w:r>
        <w:rPr>
          <w:rFonts w:hint="eastAsia"/>
        </w:rPr>
        <w:t xml:space="preserve"> 本评价条件中涉及的工作能力、工作业绩（含标志性业绩成果）、科研成果、发明专利、继续教育证明、论文论著等均与应急救援领域相关且为任现职或近5年以来取得，并需提供相应的佐证材料。</w:t>
      </w:r>
    </w:p>
    <w:p>
      <w:pPr>
        <w:pStyle w:val="6"/>
        <w:rPr>
          <w:rFonts w:hint="eastAsia"/>
        </w:rPr>
      </w:pPr>
      <w:r>
        <w:rPr>
          <w:rFonts w:hint="eastAsia"/>
          <w:b/>
          <w:bCs/>
        </w:rPr>
        <w:t xml:space="preserve">第十二条  </w:t>
      </w:r>
      <w:r>
        <w:rPr>
          <w:rFonts w:hint="eastAsia"/>
        </w:rPr>
        <w:t>工程师评审主要采取定性方式。市应急管理领域中级专业技术资格评审委员会制定量化赋分标准，</w:t>
      </w:r>
      <w:r>
        <w:rPr>
          <w:rFonts w:hint="default"/>
          <w:woUserID w:val="1"/>
        </w:rPr>
        <w:t>作为评审重要参考，</w:t>
      </w:r>
      <w:r>
        <w:rPr>
          <w:rFonts w:hint="eastAsia"/>
        </w:rPr>
        <w:t>量化赋分标准和规定分值根据行业发展情况适时调整。</w:t>
      </w:r>
    </w:p>
    <w:p>
      <w:pPr>
        <w:pStyle w:val="6"/>
        <w:rPr>
          <w:rFonts w:hint="eastAsia"/>
        </w:rPr>
      </w:pPr>
      <w:r>
        <w:rPr>
          <w:rFonts w:hint="eastAsia"/>
          <w:b/>
          <w:bCs/>
        </w:rPr>
        <w:t xml:space="preserve">第十三条 </w:t>
      </w:r>
      <w:r>
        <w:rPr>
          <w:rFonts w:hint="eastAsia"/>
        </w:rPr>
        <w:t xml:space="preserve"> 申报人员有下列情形之一的，取消其评审资格，已通过评审的人员，取消其职务任职资格，由发证机关收回其任职资格证书，并从次年起3年内不得申报相应职务任职资格评审：</w:t>
      </w:r>
    </w:p>
    <w:p>
      <w:pPr>
        <w:pStyle w:val="6"/>
        <w:rPr>
          <w:rFonts w:hint="eastAsia"/>
        </w:rPr>
      </w:pPr>
      <w:r>
        <w:rPr>
          <w:rFonts w:hint="eastAsia"/>
        </w:rPr>
        <w:t>（一）伪造、变造证件、证明等申报材料的。</w:t>
      </w:r>
    </w:p>
    <w:p>
      <w:pPr>
        <w:pStyle w:val="6"/>
        <w:rPr>
          <w:rFonts w:hint="eastAsia"/>
        </w:rPr>
      </w:pPr>
      <w:r>
        <w:rPr>
          <w:rFonts w:hint="eastAsia"/>
        </w:rPr>
        <w:t>（二）有违纪违法行为仍在处理、处分、处罚阶段或任现职后有严重违纪违法行为，在申报材料中未反映的。</w:t>
      </w:r>
    </w:p>
    <w:p>
      <w:pPr>
        <w:pStyle w:val="6"/>
        <w:rPr>
          <w:rFonts w:hint="eastAsia"/>
        </w:rPr>
      </w:pPr>
      <w:r>
        <w:rPr>
          <w:rFonts w:hint="eastAsia"/>
        </w:rPr>
        <w:t>（三）有其他弄虚作假、营私舞弊行为的。</w:t>
      </w:r>
    </w:p>
    <w:p>
      <w:pPr>
        <w:pStyle w:val="6"/>
        <w:rPr>
          <w:rFonts w:hint="eastAsia"/>
        </w:rPr>
      </w:pPr>
      <w:r>
        <w:rPr>
          <w:rFonts w:hint="eastAsia"/>
          <w:b/>
          <w:bCs/>
        </w:rPr>
        <w:t xml:space="preserve">第十四条 </w:t>
      </w:r>
      <w:r>
        <w:rPr>
          <w:rFonts w:hint="eastAsia"/>
        </w:rPr>
        <w:t xml:space="preserve"> 本评价条件中有关词语或概念的特定解释。</w:t>
      </w:r>
    </w:p>
    <w:p>
      <w:pPr>
        <w:pStyle w:val="6"/>
        <w:rPr>
          <w:rFonts w:hint="eastAsia"/>
        </w:rPr>
      </w:pPr>
      <w:r>
        <w:rPr>
          <w:rFonts w:hint="eastAsia"/>
        </w:rPr>
        <w:t>（一）获奖人员是指国家有关机构规定的获奖项目、课题各等级内额定获奖人员（有个人获奖证书或文件）。</w:t>
      </w:r>
    </w:p>
    <w:p>
      <w:pPr>
        <w:pStyle w:val="6"/>
        <w:rPr>
          <w:rFonts w:hint="eastAsia"/>
        </w:rPr>
      </w:pPr>
      <w:r>
        <w:rPr>
          <w:rFonts w:hint="eastAsia"/>
        </w:rPr>
        <w:t>（二）“为主”是指项目（包括国家级科技项目子课题）排名前三的完成者（以项目计划任务书或有关文件为准）。</w:t>
      </w:r>
    </w:p>
    <w:p>
      <w:pPr>
        <w:pStyle w:val="6"/>
        <w:rPr>
          <w:rFonts w:hint="eastAsia"/>
        </w:rPr>
      </w:pPr>
      <w:r>
        <w:rPr>
          <w:rFonts w:hint="eastAsia"/>
        </w:rPr>
        <w:t>（三）省、部级以上期刊是指省、部级以上专业学会（协会）或省、部级以上业务部门主办的公开发行的有正式刊号的刊物。核心期刊是指属于中文核心期刊、中国科技核心期刊、CSCD期刊和中国核心期刊遴选数据库体系内的期刊。</w:t>
      </w:r>
    </w:p>
    <w:p>
      <w:pPr>
        <w:pStyle w:val="6"/>
        <w:rPr>
          <w:rFonts w:hint="eastAsia"/>
        </w:rPr>
      </w:pPr>
      <w:r>
        <w:rPr>
          <w:rFonts w:hint="eastAsia"/>
        </w:rPr>
        <w:t>（四）标志性业绩成果中的获奖专利是指发明专利。</w:t>
      </w:r>
    </w:p>
    <w:p>
      <w:pPr>
        <w:pStyle w:val="6"/>
        <w:rPr>
          <w:rFonts w:hint="eastAsia"/>
        </w:rPr>
      </w:pPr>
      <w:r>
        <w:rPr>
          <w:rFonts w:hint="eastAsia"/>
        </w:rPr>
        <w:t>（五）佐证材料是指能提供本人在所完成的业绩成果中地位、作用的书面证明材料。</w:t>
      </w:r>
    </w:p>
    <w:p>
      <w:pPr>
        <w:pStyle w:val="6"/>
        <w:rPr>
          <w:rFonts w:hint="eastAsia"/>
        </w:rPr>
      </w:pPr>
      <w:r>
        <w:rPr>
          <w:rFonts w:hint="eastAsia"/>
        </w:rPr>
        <w:t>（六）编著是指撰写内容字数达到3万字以上。</w:t>
      </w:r>
    </w:p>
    <w:p>
      <w:pPr>
        <w:pStyle w:val="6"/>
        <w:rPr>
          <w:rFonts w:hint="eastAsia"/>
        </w:rPr>
      </w:pPr>
      <w:r>
        <w:rPr>
          <w:rFonts w:hint="eastAsia"/>
        </w:rPr>
        <w:t>（七）“以上”均含本级或本数。</w:t>
      </w:r>
    </w:p>
    <w:p>
      <w:pPr>
        <w:pStyle w:val="6"/>
        <w:rPr>
          <w:rFonts w:hint="eastAsia"/>
        </w:rPr>
      </w:pPr>
      <w:r>
        <w:rPr>
          <w:rFonts w:hint="eastAsia"/>
        </w:rPr>
        <w:t>（八）“年”均为周年。</w:t>
      </w:r>
    </w:p>
    <w:p>
      <w:pPr>
        <w:pStyle w:val="6"/>
        <w:rPr>
          <w:rFonts w:hint="eastAsia"/>
        </w:rPr>
      </w:pPr>
      <w:r>
        <w:rPr>
          <w:rFonts w:hint="eastAsia"/>
          <w:b/>
          <w:bCs/>
        </w:rPr>
        <w:t xml:space="preserve">第十五条 </w:t>
      </w:r>
      <w:r>
        <w:rPr>
          <w:rFonts w:hint="eastAsia"/>
        </w:rPr>
        <w:t xml:space="preserve"> 本评价条件由市应急管理局、市人力社保局按职责分工负责解释。</w:t>
      </w:r>
    </w:p>
    <w:p>
      <w:pPr>
        <w:pStyle w:val="6"/>
        <w:rPr>
          <w:rFonts w:hint="eastAsia"/>
        </w:rPr>
      </w:pPr>
      <w:r>
        <w:rPr>
          <w:rFonts w:hint="eastAsia"/>
          <w:b/>
          <w:bCs/>
        </w:rPr>
        <w:t xml:space="preserve">第十六条 </w:t>
      </w:r>
      <w:r>
        <w:rPr>
          <w:rFonts w:hint="eastAsia"/>
        </w:rPr>
        <w:t xml:space="preserve"> 本评价条件自2022年</w:t>
      </w:r>
      <w:r>
        <w:rPr>
          <w:rFonts w:hint="default"/>
          <w:woUserID w:val="1"/>
        </w:rPr>
        <w:t>10</w:t>
      </w:r>
      <w:r>
        <w:rPr>
          <w:rFonts w:hint="eastAsia"/>
          <w:woUserID w:val="1"/>
        </w:rPr>
        <w:t>月</w:t>
      </w:r>
      <w:r>
        <w:rPr>
          <w:rFonts w:hint="default"/>
          <w:woUserID w:val="1"/>
        </w:rPr>
        <w:t>8</w:t>
      </w:r>
      <w:r>
        <w:rPr>
          <w:rFonts w:hint="eastAsia"/>
        </w:rPr>
        <w:t>日起施行。</w:t>
      </w:r>
    </w:p>
    <w:p>
      <w:pPr>
        <w:pStyle w:val="6"/>
        <w:rPr>
          <w:rFonts w:hint="eastAsia"/>
        </w:rPr>
      </w:pPr>
    </w:p>
    <w:p>
      <w:pPr>
        <w:pStyle w:val="6"/>
        <w:ind w:left="1920" w:leftChars="200" w:hanging="1280" w:hangingChars="400"/>
        <w:rPr>
          <w:rFonts w:hint="eastAsia"/>
        </w:rPr>
      </w:pPr>
      <w:r>
        <w:rPr>
          <w:rFonts w:hint="eastAsia"/>
        </w:rPr>
        <w:t>附表：1.台州市应急救援领域工程师职务任职资格量化赋分标准</w:t>
      </w:r>
    </w:p>
    <w:p>
      <w:pPr>
        <w:pStyle w:val="6"/>
        <w:ind w:firstLine="1600" w:firstLineChars="500"/>
        <w:rPr>
          <w:rFonts w:hint="eastAsia"/>
        </w:rPr>
        <w:sectPr>
          <w:pgSz w:w="11906" w:h="16838"/>
          <w:pgMar w:top="1701" w:right="1531" w:bottom="1701" w:left="1531" w:header="851" w:footer="992" w:gutter="0"/>
          <w:pgNumType w:fmt="decimal"/>
          <w:cols w:space="0" w:num="1"/>
          <w:rtlGutter w:val="0"/>
          <w:docGrid w:type="lines" w:linePitch="312" w:charSpace="0"/>
        </w:sectPr>
      </w:pPr>
      <w:r>
        <w:rPr>
          <w:rFonts w:hint="eastAsia"/>
        </w:rPr>
        <w:t>2.应急救援分类</w:t>
      </w:r>
    </w:p>
    <w:p>
      <w:pPr>
        <w:pStyle w:val="6"/>
        <w:ind w:left="0" w:leftChars="0" w:firstLine="0" w:firstLineChars="0"/>
        <w:rPr>
          <w:rFonts w:hint="eastAsia" w:ascii="黑体" w:hAnsi="黑体" w:eastAsia="黑体" w:cs="黑体"/>
        </w:rPr>
      </w:pPr>
      <w:r>
        <w:rPr>
          <w:rFonts w:hint="eastAsia" w:ascii="黑体" w:hAnsi="黑体" w:eastAsia="黑体" w:cs="黑体"/>
        </w:rPr>
        <w:t>附</w:t>
      </w:r>
      <w:r>
        <w:rPr>
          <w:rFonts w:hint="eastAsia" w:ascii="黑体" w:hAnsi="黑体" w:eastAsia="黑体" w:cs="黑体"/>
          <w:lang w:eastAsia="zh-CN"/>
        </w:rPr>
        <w:t>表</w:t>
      </w:r>
      <w:r>
        <w:rPr>
          <w:rFonts w:hint="eastAsia" w:ascii="黑体" w:hAnsi="黑体" w:eastAsia="黑体" w:cs="黑体"/>
        </w:rPr>
        <w:t>1</w:t>
      </w:r>
    </w:p>
    <w:p>
      <w:pPr>
        <w:pStyle w:val="6"/>
        <w:keepNext w:val="0"/>
        <w:keepLines w:val="0"/>
        <w:pageBreakBefore w:val="0"/>
        <w:widowControl w:val="0"/>
        <w:kinsoku/>
        <w:wordWrap/>
        <w:overflowPunct/>
        <w:topLinePunct/>
        <w:autoSpaceDE/>
        <w:autoSpaceDN/>
        <w:bidi w:val="0"/>
        <w:adjustRightInd w:val="0"/>
        <w:snapToGrid w:val="0"/>
        <w:spacing w:line="440" w:lineRule="exact"/>
        <w:ind w:left="0" w:leftChars="0" w:firstLine="0" w:firstLineChars="0"/>
        <w:textAlignment w:val="auto"/>
        <w:rPr>
          <w:rFonts w:hint="eastAsia"/>
        </w:rPr>
      </w:pPr>
    </w:p>
    <w:p>
      <w:pPr>
        <w:pStyle w:val="3"/>
        <w:bidi w:val="0"/>
        <w:rPr>
          <w:rFonts w:hint="eastAsia"/>
        </w:rPr>
      </w:pPr>
      <w:r>
        <w:rPr>
          <w:rFonts w:hint="eastAsia"/>
        </w:rPr>
        <w:t>台州市应急救援领域工程师职务任职资格量化赋分标准</w:t>
      </w:r>
    </w:p>
    <w:p>
      <w:pPr>
        <w:pStyle w:val="6"/>
        <w:keepNext w:val="0"/>
        <w:keepLines w:val="0"/>
        <w:pageBreakBefore w:val="0"/>
        <w:widowControl w:val="0"/>
        <w:kinsoku/>
        <w:wordWrap/>
        <w:overflowPunct/>
        <w:topLinePunct/>
        <w:autoSpaceDE/>
        <w:autoSpaceDN/>
        <w:bidi w:val="0"/>
        <w:adjustRightInd w:val="0"/>
        <w:snapToGrid w:val="0"/>
        <w:spacing w:line="440" w:lineRule="exact"/>
        <w:ind w:left="0" w:leftChars="0" w:firstLine="0" w:firstLineChars="0"/>
        <w:textAlignment w:val="auto"/>
        <w:rPr>
          <w:rFonts w:hint="eastAsia"/>
        </w:rPr>
      </w:pPr>
    </w:p>
    <w:tbl>
      <w:tblPr>
        <w:tblStyle w:val="20"/>
        <w:tblW w:w="13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1124"/>
        <w:gridCol w:w="1646"/>
        <w:gridCol w:w="2091"/>
        <w:gridCol w:w="1389"/>
        <w:gridCol w:w="1566"/>
        <w:gridCol w:w="834"/>
        <w:gridCol w:w="1686"/>
        <w:gridCol w:w="804"/>
        <w:gridCol w:w="608"/>
        <w:gridCol w:w="521"/>
        <w:gridCol w:w="105"/>
        <w:gridCol w:w="1225"/>
        <w:gridCol w:w="9"/>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5" w:type="dxa"/>
          <w:wAfter w:w="43" w:type="dxa"/>
          <w:trHeight w:val="567" w:hRule="atLeast"/>
          <w:tblHeader/>
          <w:jc w:val="center"/>
        </w:trPr>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评价指标</w:t>
            </w: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一级指标</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二级指标</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三级指标</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四级指标</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最高</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分值</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赋分说明</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b/>
                <w:bCs/>
                <w:snapToGrid w:val="0"/>
                <w:color w:val="000000"/>
                <w:kern w:val="0"/>
                <w:sz w:val="24"/>
                <w:szCs w:val="24"/>
              </w:rPr>
            </w:pPr>
            <w:r>
              <w:rPr>
                <w:rFonts w:hint="eastAsia" w:ascii="仿宋_GB2312" w:hAnsi="仿宋_GB2312" w:eastAsia="仿宋_GB2312" w:cs="仿宋_GB2312"/>
                <w:b/>
                <w:bCs/>
                <w:snapToGrid w:val="0"/>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职业道德(1</w:t>
            </w:r>
            <w:r>
              <w:rPr>
                <w:rFonts w:hint="eastAsia" w:ascii="仿宋_GB2312" w:hAnsi="仿宋_GB2312" w:eastAsia="仿宋_GB2312" w:cs="仿宋_GB2312"/>
                <w:snapToGrid w:val="0"/>
                <w:color w:val="000000"/>
                <w:kern w:val="0"/>
                <w:sz w:val="24"/>
                <w:szCs w:val="24"/>
                <w:lang w:val="en-US" w:eastAsia="zh-CN"/>
              </w:rPr>
              <w:t>0</w:t>
            </w:r>
            <w:r>
              <w:rPr>
                <w:rFonts w:hint="eastAsia" w:ascii="仿宋_GB2312" w:hAnsi="仿宋_GB2312" w:eastAsia="仿宋_GB2312" w:cs="仿宋_GB2312"/>
                <w:snapToGrid w:val="0"/>
                <w:color w:val="000000"/>
                <w:kern w:val="0"/>
                <w:sz w:val="24"/>
                <w:szCs w:val="24"/>
              </w:rPr>
              <w:t>分)</w:t>
            </w: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爱岗敬业</w:t>
            </w:r>
          </w:p>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napToGrid w:val="0"/>
                <w:color w:val="000000"/>
                <w:kern w:val="0"/>
                <w:sz w:val="24"/>
                <w:szCs w:val="24"/>
                <w:lang w:val="en-US" w:eastAsia="zh-CN"/>
              </w:rPr>
              <w:t>7</w:t>
            </w:r>
            <w:r>
              <w:rPr>
                <w:rFonts w:hint="eastAsia" w:ascii="仿宋_GB2312" w:hAnsi="仿宋_GB2312" w:eastAsia="仿宋_GB2312" w:cs="仿宋_GB2312"/>
                <w:snapToGrid w:val="0"/>
                <w:color w:val="000000"/>
                <w:kern w:val="0"/>
                <w:sz w:val="24"/>
                <w:szCs w:val="24"/>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劳模、五一劳动奖章、先进工作者、优秀共产党员、行业部门表彰等荣誉称号</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省(部)级</w:t>
            </w:r>
            <w:r>
              <w:rPr>
                <w:rFonts w:hint="eastAsia" w:ascii="仿宋_GB2312" w:hAnsi="仿宋_GB2312" w:eastAsia="仿宋_GB2312" w:cs="仿宋_GB2312"/>
                <w:snapToGrid w:val="0"/>
                <w:color w:val="000000"/>
                <w:kern w:val="0"/>
                <w:sz w:val="24"/>
                <w:szCs w:val="24"/>
                <w:lang w:eastAsia="zh-CN"/>
              </w:rPr>
              <w:t>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n为专家认定的奖项个数。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市(厅)级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县（局）级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1n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在抢险救灾等维护国家利益、公共利益活动中受到伤害</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2</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根据工伤认定证明为准。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gridAfter w:val="2"/>
          <w:wBefore w:w="5" w:type="dxa"/>
          <w:wAfter w:w="43" w:type="dxa"/>
          <w:trHeight w:val="567" w:hRule="atLeast"/>
          <w:jc w:val="center"/>
        </w:trPr>
        <w:tc>
          <w:tcPr>
            <w:tcW w:w="112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年度考核</w:t>
            </w:r>
          </w:p>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近三年年度考核为优秀等次</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1</w:t>
            </w:r>
            <w:r>
              <w:rPr>
                <w:rFonts w:hint="eastAsia" w:ascii="仿宋_GB2312" w:hAnsi="仿宋_GB2312" w:eastAsia="仿宋_GB2312" w:cs="仿宋_GB2312"/>
                <w:snapToGrid w:val="0"/>
                <w:color w:val="000000"/>
                <w:kern w:val="0"/>
                <w:sz w:val="24"/>
                <w:szCs w:val="24"/>
              </w:rPr>
              <w:t>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专业技术经历和水平(</w:t>
            </w:r>
            <w:r>
              <w:rPr>
                <w:rFonts w:hint="eastAsia" w:ascii="仿宋_GB2312" w:hAnsi="仿宋_GB2312" w:eastAsia="仿宋_GB2312" w:cs="仿宋_GB2312"/>
                <w:snapToGrid w:val="0"/>
                <w:color w:val="000000"/>
                <w:kern w:val="0"/>
                <w:sz w:val="24"/>
                <w:szCs w:val="24"/>
                <w:lang w:val="en-US" w:eastAsia="zh-CN"/>
              </w:rPr>
              <w:t>40</w:t>
            </w:r>
            <w:r>
              <w:rPr>
                <w:rFonts w:hint="eastAsia" w:ascii="仿宋_GB2312" w:hAnsi="仿宋_GB2312" w:eastAsia="仿宋_GB2312" w:cs="仿宋_GB2312"/>
                <w:snapToGrid w:val="0"/>
                <w:color w:val="000000"/>
                <w:kern w:val="0"/>
                <w:sz w:val="24"/>
                <w:szCs w:val="24"/>
              </w:rPr>
              <w:t>分)</w:t>
            </w: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专业学习经历(</w:t>
            </w:r>
            <w:r>
              <w:rPr>
                <w:rFonts w:hint="eastAsia" w:ascii="仿宋_GB2312" w:hAnsi="仿宋_GB2312" w:eastAsia="仿宋_GB2312" w:cs="仿宋_GB2312"/>
                <w:snapToGrid w:val="0"/>
                <w:color w:val="000000"/>
                <w:kern w:val="0"/>
                <w:sz w:val="24"/>
                <w:szCs w:val="24"/>
                <w:lang w:val="en-US" w:eastAsia="zh-CN"/>
              </w:rPr>
              <w:t>7</w:t>
            </w:r>
            <w:r>
              <w:rPr>
                <w:rFonts w:hint="eastAsia" w:ascii="仿宋_GB2312" w:hAnsi="仿宋_GB2312" w:eastAsia="仿宋_GB2312" w:cs="仿宋_GB2312"/>
                <w:snapToGrid w:val="0"/>
                <w:color w:val="000000"/>
                <w:kern w:val="0"/>
                <w:sz w:val="24"/>
                <w:szCs w:val="24"/>
              </w:rPr>
              <w:t>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硕士研究生</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7</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7</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取得的学历、学位按最高项计分</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双学士、工程硕士学位以教育部门认定为准。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双学士或工程硕士</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6</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非全日制学士或工程硕士</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9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4</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专科</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专业工作经历</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(10分)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从事应急救援领域工作年限</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10</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外语和计算机能力（2分）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取得职称外语类别C级及以上证书</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0.5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0.5</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取得《全国专业技术人员计算机应用能力考试合格证》</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1.5</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知识</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更新情况</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（8分）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继续教育</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学时登记</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90学时以上</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8</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8</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近3年继续教育年均学时，单位内部培训学时最高折算为20学时。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60-90学时</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6</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40-60学时</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27-40学时</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资格证书</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助理工程师</w:t>
            </w:r>
            <w:r>
              <w:rPr>
                <w:rFonts w:hint="eastAsia" w:ascii="仿宋_GB2312" w:hAnsi="仿宋_GB2312" w:eastAsia="仿宋_GB2312" w:cs="仿宋_GB2312"/>
                <w:snapToGrid w:val="0"/>
                <w:color w:val="000000"/>
                <w:kern w:val="0"/>
                <w:sz w:val="24"/>
                <w:szCs w:val="24"/>
              </w:rPr>
              <w:t>资格证书</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应在申报单位注册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行业影响力(1</w:t>
            </w:r>
            <w:r>
              <w:rPr>
                <w:rFonts w:hint="eastAsia" w:ascii="仿宋_GB2312" w:hAnsi="仿宋_GB2312" w:eastAsia="仿宋_GB2312" w:cs="仿宋_GB2312"/>
                <w:snapToGrid w:val="0"/>
                <w:color w:val="000000"/>
                <w:kern w:val="0"/>
                <w:sz w:val="24"/>
                <w:szCs w:val="24"/>
                <w:lang w:val="en-US" w:eastAsia="zh-CN"/>
              </w:rPr>
              <w:t>0</w:t>
            </w:r>
            <w:r>
              <w:rPr>
                <w:rFonts w:hint="eastAsia" w:ascii="仿宋_GB2312" w:hAnsi="仿宋_GB2312" w:eastAsia="仿宋_GB2312" w:cs="仿宋_GB2312"/>
                <w:snapToGrid w:val="0"/>
                <w:color w:val="000000"/>
                <w:kern w:val="0"/>
                <w:sz w:val="24"/>
                <w:szCs w:val="24"/>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应急管理专家库成员</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省级</w:t>
            </w:r>
            <w:r>
              <w:rPr>
                <w:rFonts w:hint="eastAsia" w:ascii="仿宋_GB2312" w:hAnsi="仿宋_GB2312" w:eastAsia="仿宋_GB2312" w:cs="仿宋_GB2312"/>
                <w:snapToGrid w:val="0"/>
                <w:color w:val="000000"/>
                <w:kern w:val="0"/>
                <w:sz w:val="24"/>
                <w:szCs w:val="24"/>
                <w:lang w:eastAsia="zh-CN"/>
              </w:rPr>
              <w:t>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按最高层级计一次，同一层次可累计，n为数量。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62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参加社会团体</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省级</w:t>
            </w:r>
            <w:r>
              <w:rPr>
                <w:rFonts w:hint="eastAsia" w:ascii="仿宋_GB2312" w:hAnsi="仿宋_GB2312" w:eastAsia="仿宋_GB2312" w:cs="仿宋_GB2312"/>
                <w:snapToGrid w:val="0"/>
                <w:color w:val="000000"/>
                <w:kern w:val="0"/>
                <w:sz w:val="24"/>
                <w:szCs w:val="24"/>
                <w:lang w:eastAsia="zh-CN"/>
              </w:rPr>
              <w:t>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主要负责人</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主要是指合法登记的与应急救援等专业相关的具有学术性质的社会团体或社会组织，不包括纯商业性质的商会、行业协会等</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2.按参与的最高层级的社会团体计一次，不累计</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3.社会团体主要负责人指担任常务理事以上职务。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理事或委员</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地市级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主要负责人</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理事或委员</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区县级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主要负责人</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理事或委员</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成果</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和业绩(</w:t>
            </w: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0分)</w:t>
            </w: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岗位业绩(</w:t>
            </w:r>
            <w:r>
              <w:rPr>
                <w:rFonts w:hint="eastAsia" w:ascii="仿宋_GB2312" w:hAnsi="仿宋_GB2312" w:eastAsia="仿宋_GB2312" w:cs="仿宋_GB2312"/>
                <w:snapToGrid w:val="0"/>
                <w:color w:val="000000"/>
                <w:kern w:val="0"/>
                <w:sz w:val="24"/>
                <w:szCs w:val="24"/>
                <w:lang w:val="en-US" w:eastAsia="zh-CN"/>
              </w:rPr>
              <w:t>30</w:t>
            </w:r>
            <w:r>
              <w:rPr>
                <w:rFonts w:hint="eastAsia" w:ascii="仿宋_GB2312" w:hAnsi="仿宋_GB2312" w:eastAsia="仿宋_GB2312" w:cs="仿宋_GB2312"/>
                <w:snapToGrid w:val="0"/>
                <w:color w:val="000000"/>
                <w:kern w:val="0"/>
                <w:sz w:val="24"/>
                <w:szCs w:val="24"/>
              </w:rPr>
              <w:t>分，评分时选取1项二级指标进行打分，选定后其他二级指标空项)</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应急救援</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作为应急救援队伍</w:t>
            </w:r>
            <w:r>
              <w:rPr>
                <w:rFonts w:hint="eastAsia" w:ascii="仿宋_GB2312" w:hAnsi="仿宋_GB2312" w:eastAsia="仿宋_GB2312" w:cs="仿宋_GB2312"/>
                <w:snapToGrid w:val="0"/>
                <w:color w:val="000000"/>
                <w:kern w:val="0"/>
                <w:sz w:val="24"/>
                <w:szCs w:val="24"/>
                <w:lang w:eastAsia="zh-CN"/>
              </w:rPr>
              <w:t>专业</w:t>
            </w:r>
            <w:r>
              <w:rPr>
                <w:rFonts w:hint="eastAsia" w:ascii="仿宋_GB2312" w:hAnsi="仿宋_GB2312" w:eastAsia="仿宋_GB2312" w:cs="仿宋_GB2312"/>
                <w:snapToGrid w:val="0"/>
                <w:color w:val="000000"/>
                <w:kern w:val="0"/>
                <w:sz w:val="24"/>
                <w:szCs w:val="24"/>
              </w:rPr>
              <w:t>技术</w:t>
            </w:r>
            <w:r>
              <w:rPr>
                <w:rFonts w:hint="eastAsia" w:ascii="仿宋_GB2312" w:hAnsi="仿宋_GB2312" w:eastAsia="仿宋_GB2312" w:cs="仿宋_GB2312"/>
                <w:snapToGrid w:val="0"/>
                <w:color w:val="000000"/>
                <w:kern w:val="0"/>
                <w:sz w:val="24"/>
                <w:szCs w:val="24"/>
                <w:lang w:eastAsia="zh-CN"/>
              </w:rPr>
              <w:t>人员参与</w:t>
            </w:r>
            <w:r>
              <w:rPr>
                <w:rFonts w:hint="eastAsia" w:ascii="仿宋_GB2312" w:hAnsi="仿宋_GB2312" w:eastAsia="仿宋_GB2312" w:cs="仿宋_GB2312"/>
                <w:snapToGrid w:val="0"/>
                <w:color w:val="000000"/>
                <w:kern w:val="0"/>
                <w:sz w:val="24"/>
                <w:szCs w:val="24"/>
              </w:rPr>
              <w:t>安全生产类、自然灾害类突发事件</w:t>
            </w:r>
            <w:r>
              <w:rPr>
                <w:rFonts w:hint="eastAsia" w:ascii="仿宋_GB2312" w:hAnsi="仿宋_GB2312" w:eastAsia="仿宋_GB2312" w:cs="仿宋_GB2312"/>
                <w:snapToGrid w:val="0"/>
                <w:color w:val="000000"/>
                <w:kern w:val="0"/>
                <w:sz w:val="24"/>
                <w:szCs w:val="24"/>
                <w:lang w:eastAsia="zh-CN"/>
              </w:rPr>
              <w:t>应急处置</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完成安全生产类、自然灾害类突发事件应急处置</w:t>
            </w:r>
            <w:r>
              <w:rPr>
                <w:rFonts w:hint="eastAsia" w:ascii="仿宋_GB2312" w:hAnsi="仿宋_GB2312" w:eastAsia="仿宋_GB2312" w:cs="仿宋_GB2312"/>
                <w:snapToGrid w:val="0"/>
                <w:color w:val="000000"/>
                <w:kern w:val="0"/>
                <w:sz w:val="24"/>
                <w:szCs w:val="24"/>
                <w:lang w:val="en-US" w:eastAsia="zh-CN"/>
              </w:rPr>
              <w:t>8</w:t>
            </w:r>
            <w:r>
              <w:rPr>
                <w:rFonts w:hint="eastAsia" w:ascii="仿宋_GB2312" w:hAnsi="仿宋_GB2312" w:eastAsia="仿宋_GB2312" w:cs="仿宋_GB2312"/>
                <w:snapToGrid w:val="0"/>
                <w:color w:val="000000"/>
                <w:kern w:val="0"/>
                <w:sz w:val="24"/>
                <w:szCs w:val="24"/>
              </w:rPr>
              <w:t>次以上(其中较大以上</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次或重大以上2次)，选择2份作为代表业绩。</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0</w:t>
            </w: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2,根据业绩贡献大小给与0-</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2区间分值。附加分n最高分值8分，根据2次代表救援业绩的事故、灾害级别系数相加累计得出。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eastAsia="zh-CN"/>
              </w:rPr>
              <w:t>级别</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eastAsia="zh-CN"/>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eastAsia="zh-CN"/>
              </w:rPr>
              <w:t>特别重大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eastAsia="zh-CN"/>
              </w:rPr>
              <w:t>重大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eastAsia="zh-CN"/>
              </w:rPr>
              <w:t>较大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eastAsia="zh-CN"/>
              </w:rPr>
              <w:t>一般</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应急救援培训</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作为应急救援队伍专业技术人员，为社会公众提供应急救援技术培训、指导</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累计授课300课时，选择3份作为代表业绩。</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1,根据业绩贡献大小给与0-</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1区间分值。附加分n最高分值9分，根据3项代表业绩</w:t>
            </w:r>
            <w:r>
              <w:rPr>
                <w:rFonts w:hint="eastAsia" w:ascii="仿宋_GB2312" w:hAnsi="仿宋_GB2312" w:eastAsia="仿宋_GB2312" w:cs="仿宋_GB2312"/>
                <w:snapToGrid w:val="0"/>
                <w:color w:val="000000"/>
                <w:kern w:val="0"/>
                <w:sz w:val="24"/>
                <w:szCs w:val="24"/>
                <w:lang w:eastAsia="zh-CN"/>
              </w:rPr>
              <w:t>组织</w:t>
            </w:r>
            <w:r>
              <w:rPr>
                <w:rFonts w:hint="eastAsia" w:ascii="仿宋_GB2312" w:hAnsi="仿宋_GB2312" w:eastAsia="仿宋_GB2312" w:cs="仿宋_GB2312"/>
                <w:snapToGrid w:val="0"/>
                <w:color w:val="000000"/>
                <w:kern w:val="0"/>
                <w:sz w:val="24"/>
                <w:szCs w:val="24"/>
              </w:rPr>
              <w:t>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要素</w:t>
            </w: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级别</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组织单位(n)</w:t>
            </w: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129"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县级</w:t>
            </w:r>
          </w:p>
        </w:tc>
        <w:tc>
          <w:tcPr>
            <w:tcW w:w="1373"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应急预案编制</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完成县级以上总体应急预案或安全生产类、自然灾害类专项应急预案编制</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w:t>
            </w: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项以上</w:t>
            </w:r>
            <w:r>
              <w:rPr>
                <w:rFonts w:hint="eastAsia" w:ascii="仿宋_GB2312" w:hAnsi="仿宋_GB2312" w:eastAsia="仿宋_GB2312" w:cs="仿宋_GB2312"/>
                <w:snapToGrid w:val="0"/>
                <w:color w:val="000000"/>
                <w:kern w:val="0"/>
                <w:sz w:val="24"/>
                <w:szCs w:val="24"/>
                <w:lang w:eastAsia="zh-CN"/>
              </w:rPr>
              <w:t>，并颁布实施。</w:t>
            </w:r>
            <w:r>
              <w:rPr>
                <w:rFonts w:hint="eastAsia" w:ascii="仿宋_GB2312" w:hAnsi="仿宋_GB2312" w:eastAsia="仿宋_GB2312" w:cs="仿宋_GB2312"/>
                <w:snapToGrid w:val="0"/>
                <w:color w:val="000000"/>
                <w:kern w:val="0"/>
                <w:sz w:val="24"/>
                <w:szCs w:val="24"/>
              </w:rPr>
              <w:t>选择2份作为代表业绩。</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m+nx</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0,根据业绩贡献大小给与0-</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0区间分值。附加分nx最高分值10分，根据2份代表业绩级别系数相乘得出。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要素</w:t>
            </w: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级别</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eastAsia="zh-CN"/>
              </w:rPr>
              <w:t>类别</w:t>
            </w:r>
            <w:r>
              <w:rPr>
                <w:rFonts w:hint="eastAsia" w:ascii="仿宋_GB2312" w:hAnsi="仿宋_GB2312" w:eastAsia="仿宋_GB2312" w:cs="仿宋_GB2312"/>
                <w:snapToGrid w:val="0"/>
                <w:color w:val="000000"/>
                <w:kern w:val="0"/>
                <w:sz w:val="24"/>
                <w:szCs w:val="24"/>
                <w:lang w:val="en-US" w:eastAsia="zh-CN"/>
              </w:rPr>
              <w:t>n</w:t>
            </w: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总体</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专项</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eastAsia="zh-CN"/>
              </w:rPr>
              <w:t>级别</w:t>
            </w:r>
            <w:r>
              <w:rPr>
                <w:rFonts w:hint="eastAsia" w:ascii="仿宋_GB2312" w:hAnsi="仿宋_GB2312" w:eastAsia="仿宋_GB2312" w:cs="仿宋_GB2312"/>
                <w:snapToGrid w:val="0"/>
                <w:color w:val="000000"/>
                <w:kern w:val="0"/>
                <w:sz w:val="24"/>
                <w:szCs w:val="24"/>
                <w:lang w:val="en-US" w:eastAsia="zh-CN"/>
              </w:rPr>
              <w:t>x</w:t>
            </w: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省级</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市级</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0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234"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县级</w:t>
            </w:r>
          </w:p>
        </w:tc>
        <w:tc>
          <w:tcPr>
            <w:tcW w:w="1234"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岗位业绩(</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0分，评分时选取1项二级指标进行打分，选定后其他二级指标空项)</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应急预案演练评估</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lang w:val="en-US" w:eastAsia="zh-CN"/>
              </w:rPr>
              <w:t>组织策划完成</w:t>
            </w:r>
            <w:r>
              <w:rPr>
                <w:rFonts w:hint="eastAsia" w:ascii="仿宋_GB2312" w:hAnsi="仿宋_GB2312" w:eastAsia="仿宋_GB2312" w:cs="仿宋_GB2312"/>
                <w:snapToGrid w:val="0"/>
                <w:color w:val="000000"/>
                <w:kern w:val="0"/>
                <w:sz w:val="24"/>
                <w:szCs w:val="24"/>
              </w:rPr>
              <w:t>县级以上安全生产类、自然灾害类专项应急预案演练评估</w:t>
            </w:r>
          </w:p>
        </w:tc>
        <w:tc>
          <w:tcPr>
            <w:tcW w:w="156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eastAsia="zh-CN"/>
              </w:rPr>
              <w:t>参与</w:t>
            </w:r>
            <w:r>
              <w:rPr>
                <w:rFonts w:hint="eastAsia" w:ascii="仿宋_GB2312" w:hAnsi="仿宋_GB2312" w:eastAsia="仿宋_GB2312" w:cs="仿宋_GB2312"/>
                <w:snapToGrid w:val="0"/>
                <w:color w:val="000000"/>
                <w:kern w:val="0"/>
                <w:sz w:val="24"/>
                <w:szCs w:val="24"/>
              </w:rPr>
              <w:t>完成应急预案演练评估总结报告1</w:t>
            </w:r>
            <w:r>
              <w:rPr>
                <w:rFonts w:hint="eastAsia" w:ascii="仿宋_GB2312" w:hAnsi="仿宋_GB2312" w:eastAsia="仿宋_GB2312" w:cs="仿宋_GB2312"/>
                <w:snapToGrid w:val="0"/>
                <w:color w:val="000000"/>
                <w:kern w:val="0"/>
                <w:sz w:val="24"/>
                <w:szCs w:val="24"/>
                <w:lang w:val="en-US" w:eastAsia="zh-CN"/>
              </w:rPr>
              <w:t>0</w:t>
            </w:r>
            <w:r>
              <w:rPr>
                <w:rFonts w:hint="eastAsia" w:ascii="仿宋_GB2312" w:hAnsi="仿宋_GB2312" w:eastAsia="仿宋_GB2312" w:cs="仿宋_GB2312"/>
                <w:snapToGrid w:val="0"/>
                <w:color w:val="000000"/>
                <w:kern w:val="0"/>
                <w:sz w:val="24"/>
                <w:szCs w:val="24"/>
              </w:rPr>
              <w:t>份以上，</w:t>
            </w:r>
            <w:r>
              <w:rPr>
                <w:rFonts w:hint="eastAsia" w:ascii="仿宋_GB2312" w:hAnsi="仿宋_GB2312" w:eastAsia="仿宋_GB2312" w:cs="仿宋_GB2312"/>
                <w:snapToGrid w:val="0"/>
                <w:color w:val="000000"/>
                <w:kern w:val="0"/>
                <w:sz w:val="24"/>
                <w:szCs w:val="24"/>
                <w:lang w:eastAsia="zh-CN"/>
              </w:rPr>
              <w:t>并形成评估总结报告。</w:t>
            </w:r>
            <w:r>
              <w:rPr>
                <w:rFonts w:hint="eastAsia" w:ascii="仿宋_GB2312" w:hAnsi="仿宋_GB2312" w:eastAsia="仿宋_GB2312" w:cs="仿宋_GB2312"/>
                <w:snapToGrid w:val="0"/>
                <w:color w:val="000000"/>
                <w:kern w:val="0"/>
                <w:sz w:val="24"/>
                <w:szCs w:val="24"/>
              </w:rPr>
              <w:t>选择3份作为代表业绩。</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30</w:t>
            </w:r>
          </w:p>
        </w:tc>
        <w:tc>
          <w:tcPr>
            <w:tcW w:w="168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m+n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基本分m最高分值为</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1,根据业绩贡献大小给与0-</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1区间分值。附加分n最高分值9分，根据3份代表业绩级别系数相加累计得出。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级别</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省级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市级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454"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412"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县级</w:t>
            </w:r>
          </w:p>
        </w:tc>
        <w:tc>
          <w:tcPr>
            <w:tcW w:w="1851"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科研项目</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napToGrid w:val="0"/>
                <w:color w:val="000000"/>
                <w:kern w:val="0"/>
                <w:sz w:val="24"/>
                <w:szCs w:val="24"/>
                <w:lang w:val="en-US" w:eastAsia="zh-CN"/>
              </w:rPr>
              <w:t>5</w:t>
            </w:r>
            <w:r>
              <w:rPr>
                <w:rFonts w:hint="eastAsia" w:ascii="仿宋_GB2312" w:hAnsi="仿宋_GB2312" w:eastAsia="仿宋_GB2312" w:cs="仿宋_GB2312"/>
                <w:snapToGrid w:val="0"/>
                <w:color w:val="000000"/>
                <w:kern w:val="0"/>
                <w:sz w:val="24"/>
                <w:szCs w:val="24"/>
              </w:rPr>
              <w:t>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参与完成县级以上科研项目2项以上，并通过评审、验收</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排名前三</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5</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项目需要经过验收或鉴定</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n指经专家认定项目数。不同项目分数可以累计计分。主要考核该项目的实用性、经济效益和社会效益以及成果转化或进一步研究价值。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开发应急救援新技术、新方法(</w:t>
            </w: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分)</w:t>
            </w: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参与开发应急救援新技术、新方法等项目1项以上</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或参与成功推广应用项目2项以上，成效显著。</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3263" w:type="dxa"/>
            <w:gridSpan w:val="5"/>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获奖情况</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napToGrid w:val="0"/>
                <w:color w:val="000000"/>
                <w:kern w:val="0"/>
                <w:sz w:val="24"/>
                <w:szCs w:val="24"/>
                <w:lang w:val="en-US" w:eastAsia="zh-CN"/>
              </w:rPr>
              <w:t>4</w:t>
            </w:r>
            <w:r>
              <w:rPr>
                <w:rFonts w:hint="eastAsia" w:ascii="仿宋_GB2312" w:hAnsi="仿宋_GB2312" w:eastAsia="仿宋_GB2312" w:cs="仿宋_GB2312"/>
                <w:snapToGrid w:val="0"/>
                <w:color w:val="000000"/>
                <w:kern w:val="0"/>
                <w:sz w:val="24"/>
                <w:szCs w:val="24"/>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市(厅)级</w:t>
            </w:r>
            <w:r>
              <w:rPr>
                <w:rFonts w:hint="eastAsia" w:ascii="仿宋_GB2312" w:hAnsi="仿宋_GB2312" w:eastAsia="仿宋_GB2312" w:cs="仿宋_GB2312"/>
                <w:snapToGrid w:val="0"/>
                <w:color w:val="000000"/>
                <w:kern w:val="0"/>
                <w:sz w:val="24"/>
                <w:szCs w:val="24"/>
                <w:lang w:eastAsia="zh-CN"/>
              </w:rPr>
              <w:t>以上</w:t>
            </w:r>
            <w:r>
              <w:rPr>
                <w:rFonts w:hint="eastAsia" w:ascii="仿宋_GB2312" w:hAnsi="仿宋_GB2312" w:eastAsia="仿宋_GB2312" w:cs="仿宋_GB2312"/>
                <w:snapToGrid w:val="0"/>
                <w:color w:val="000000"/>
                <w:kern w:val="0"/>
                <w:sz w:val="24"/>
                <w:szCs w:val="24"/>
              </w:rPr>
              <w:t>科学技术奖</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4</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区县级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获得市(厅)级以上应急救援竞赛项目个人一等奖1项以上。</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省级及以上</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4n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n为经专家认定的获奖项数，竞赛奖项名次指总分排名。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市级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区县级</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获得应急救援领域相关专利或软件著作权1项以上</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3分）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相关</w:t>
            </w:r>
            <w:r>
              <w:rPr>
                <w:rFonts w:hint="eastAsia" w:ascii="仿宋_GB2312" w:hAnsi="仿宋_GB2312" w:eastAsia="仿宋_GB2312" w:cs="仿宋_GB2312"/>
                <w:snapToGrid w:val="0"/>
                <w:color w:val="000000"/>
                <w:kern w:val="0"/>
                <w:sz w:val="24"/>
                <w:szCs w:val="24"/>
              </w:rPr>
              <w:t>专利</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第一发明人</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n为经专家认可产生实际效益的专利数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主要发明人</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软件著作权登记</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排名第一</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单位或专利代理事务所盖章为准，n为经专家认定产生实际效益的数。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排名前五</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0.5</w:t>
            </w:r>
            <w:r>
              <w:rPr>
                <w:rFonts w:hint="eastAsia" w:ascii="仿宋_GB2312" w:hAnsi="仿宋_GB2312" w:eastAsia="仿宋_GB2312" w:cs="仿宋_GB2312"/>
                <w:snapToGrid w:val="0"/>
                <w:color w:val="000000"/>
                <w:kern w:val="0"/>
                <w:sz w:val="24"/>
                <w:szCs w:val="24"/>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参与完成设区市(厅)级以上标准/规程/规范1项以上，并颁布实施</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分)</w:t>
            </w: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国家、行业</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w:t>
            </w: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263" w:type="dxa"/>
            <w:gridSpan w:val="5"/>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n为编制数，有正式文件为据。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省级</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n</w:t>
            </w:r>
          </w:p>
        </w:tc>
        <w:tc>
          <w:tcPr>
            <w:tcW w:w="3263" w:type="dxa"/>
            <w:gridSpan w:val="5"/>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地市级</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1</w:t>
            </w:r>
            <w:r>
              <w:rPr>
                <w:rFonts w:hint="eastAsia" w:ascii="仿宋_GB2312" w:hAnsi="仿宋_GB2312" w:eastAsia="仿宋_GB2312" w:cs="仿宋_GB2312"/>
                <w:snapToGrid w:val="0"/>
                <w:color w:val="000000"/>
                <w:kern w:val="0"/>
                <w:sz w:val="24"/>
                <w:szCs w:val="24"/>
              </w:rPr>
              <w:t>n</w:t>
            </w:r>
          </w:p>
        </w:tc>
        <w:tc>
          <w:tcPr>
            <w:tcW w:w="3263" w:type="dxa"/>
            <w:gridSpan w:val="5"/>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eastAsia="zh-CN"/>
              </w:rPr>
              <w:t>团体</w:t>
            </w:r>
          </w:p>
        </w:tc>
        <w:tc>
          <w:tcPr>
            <w:tcW w:w="1389"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834"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p>
        </w:tc>
        <w:tc>
          <w:tcPr>
            <w:tcW w:w="1686"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0.5n</w:t>
            </w:r>
          </w:p>
        </w:tc>
        <w:tc>
          <w:tcPr>
            <w:tcW w:w="3263" w:type="dxa"/>
            <w:gridSpan w:val="5"/>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论文著作</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w:t>
            </w: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分)</w:t>
            </w: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著作</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编著、</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教材、译著</w:t>
            </w:r>
          </w:p>
        </w:tc>
        <w:tc>
          <w:tcPr>
            <w:tcW w:w="1389"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专著</w:t>
            </w: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主编/第一作者</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3</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3</w:t>
            </w:r>
            <w:r>
              <w:rPr>
                <w:rFonts w:hint="eastAsia" w:ascii="仿宋_GB2312" w:hAnsi="仿宋_GB2312" w:eastAsia="仿宋_GB2312" w:cs="仿宋_GB2312"/>
                <w:snapToGrid w:val="0"/>
                <w:color w:val="000000"/>
                <w:kern w:val="0"/>
                <w:sz w:val="24"/>
                <w:szCs w:val="24"/>
              </w:rPr>
              <w:t>n</w:t>
            </w:r>
          </w:p>
        </w:tc>
        <w:tc>
          <w:tcPr>
            <w:tcW w:w="3263" w:type="dxa"/>
            <w:gridSpan w:val="5"/>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指任现职后工作期间发表的论文、专著，n为经专家认定的数。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参编/其他作者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SCI</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rPr>
              <w:t>EI、ISTP</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第一作者或通讯作者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lang w:val="en-US" w:eastAsia="zh-CN"/>
              </w:rPr>
              <w:t>2</w:t>
            </w:r>
            <w:r>
              <w:rPr>
                <w:rFonts w:hint="eastAsia" w:ascii="仿宋_GB2312" w:hAnsi="仿宋_GB2312" w:eastAsia="仿宋_GB2312" w:cs="仿宋_GB2312"/>
                <w:snapToGrid w:val="0"/>
                <w:color w:val="000000"/>
                <w:kern w:val="0"/>
                <w:sz w:val="24"/>
                <w:szCs w:val="24"/>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第二至五作者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核心期刊</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第一作者或通讯作者</w:t>
            </w:r>
          </w:p>
        </w:tc>
        <w:tc>
          <w:tcPr>
            <w:tcW w:w="834"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2</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第二、三作者</w:t>
            </w:r>
          </w:p>
        </w:tc>
        <w:tc>
          <w:tcPr>
            <w:tcW w:w="834"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0.5n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129"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64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209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公开发表的学术期刊</w:t>
            </w:r>
          </w:p>
        </w:tc>
        <w:tc>
          <w:tcPr>
            <w:tcW w:w="138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c>
          <w:tcPr>
            <w:tcW w:w="156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第一作者或通讯作者</w:t>
            </w:r>
          </w:p>
        </w:tc>
        <w:tc>
          <w:tcPr>
            <w:tcW w:w="83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1</w:t>
            </w:r>
          </w:p>
        </w:tc>
        <w:tc>
          <w:tcPr>
            <w:tcW w:w="16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0.5n</w:t>
            </w:r>
          </w:p>
        </w:tc>
        <w:tc>
          <w:tcPr>
            <w:tcW w:w="3263" w:type="dxa"/>
            <w:gridSpan w:val="5"/>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3" w:type="dxa"/>
          <w:trHeight w:val="567" w:hRule="atLeast"/>
          <w:jc w:val="center"/>
        </w:trPr>
        <w:tc>
          <w:tcPr>
            <w:tcW w:w="13604" w:type="dxa"/>
            <w:gridSpan w:val="1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备注：评价指标和各级指标有最高得分值，某项得分超过指标所设定的最高分，按最高分计算该项得分。</w:t>
            </w:r>
          </w:p>
        </w:tc>
      </w:tr>
    </w:tbl>
    <w:p>
      <w:pPr>
        <w:pStyle w:val="6"/>
        <w:keepNext w:val="0"/>
        <w:keepLines w:val="0"/>
        <w:pageBreakBefore w:val="0"/>
        <w:widowControl w:val="0"/>
        <w:kinsoku/>
        <w:wordWrap/>
        <w:overflowPunct/>
        <w:topLinePunct/>
        <w:autoSpaceDE/>
        <w:autoSpaceDN/>
        <w:bidi w:val="0"/>
        <w:adjustRightInd w:val="0"/>
        <w:snapToGrid w:val="0"/>
        <w:spacing w:line="440" w:lineRule="exact"/>
        <w:ind w:left="0" w:leftChars="0" w:firstLine="0" w:firstLineChars="0"/>
        <w:textAlignment w:val="auto"/>
        <w:rPr>
          <w:rFonts w:hint="eastAsia"/>
        </w:rPr>
      </w:pPr>
    </w:p>
    <w:p>
      <w:pPr>
        <w:pStyle w:val="6"/>
        <w:ind w:firstLine="1600" w:firstLineChars="500"/>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p>
      <w:pPr>
        <w:pStyle w:val="6"/>
        <w:ind w:left="0" w:leftChars="0" w:firstLine="0" w:firstLineChars="0"/>
        <w:rPr>
          <w:rFonts w:hint="eastAsia" w:ascii="黑体" w:hAnsi="黑体" w:eastAsia="黑体" w:cs="黑体"/>
        </w:rPr>
      </w:pPr>
      <w:r>
        <w:rPr>
          <w:rFonts w:hint="eastAsia" w:ascii="黑体" w:hAnsi="黑体" w:eastAsia="黑体" w:cs="黑体"/>
        </w:rPr>
        <w:t>附</w:t>
      </w:r>
      <w:r>
        <w:rPr>
          <w:rFonts w:hint="eastAsia" w:ascii="黑体" w:hAnsi="黑体" w:eastAsia="黑体" w:cs="黑体"/>
          <w:lang w:eastAsia="zh-CN"/>
        </w:rPr>
        <w:t>表</w:t>
      </w:r>
      <w:r>
        <w:rPr>
          <w:rFonts w:hint="eastAsia" w:ascii="黑体" w:hAnsi="黑体" w:eastAsia="黑体" w:cs="黑体"/>
        </w:rPr>
        <w:t>2</w:t>
      </w:r>
    </w:p>
    <w:p>
      <w:pPr>
        <w:pStyle w:val="3"/>
        <w:bidi w:val="0"/>
        <w:rPr>
          <w:rFonts w:hint="eastAsia"/>
        </w:rPr>
      </w:pPr>
      <w:r>
        <w:rPr>
          <w:rFonts w:hint="eastAsia"/>
        </w:rPr>
        <w:t>应急救援分类</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rPr>
      </w:pPr>
    </w:p>
    <w:tbl>
      <w:tblPr>
        <w:tblStyle w:val="20"/>
        <w:tblW w:w="134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2651"/>
        <w:gridCol w:w="9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b/>
                <w:bCs/>
                <w:snapToGrid w:val="0"/>
                <w:color w:val="000000"/>
                <w:kern w:val="0"/>
                <w:sz w:val="24"/>
                <w:szCs w:val="24"/>
              </w:rPr>
            </w:pPr>
            <w:r>
              <w:rPr>
                <w:rFonts w:ascii="Arial" w:hAnsi="Arial" w:eastAsia="仿宋_GB2312" w:cs="Arial"/>
                <w:b/>
                <w:bCs/>
                <w:snapToGrid w:val="0"/>
                <w:color w:val="000000"/>
                <w:kern w:val="0"/>
                <w:sz w:val="24"/>
                <w:szCs w:val="24"/>
              </w:rPr>
              <w:t>序号</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b/>
                <w:bCs/>
                <w:snapToGrid w:val="0"/>
                <w:color w:val="000000"/>
                <w:kern w:val="0"/>
                <w:sz w:val="24"/>
                <w:szCs w:val="24"/>
              </w:rPr>
            </w:pPr>
            <w:r>
              <w:rPr>
                <w:rFonts w:ascii="Arial" w:hAnsi="Arial" w:eastAsia="仿宋_GB2312" w:cs="Arial"/>
                <w:b/>
                <w:bCs/>
                <w:snapToGrid w:val="0"/>
                <w:color w:val="000000"/>
                <w:kern w:val="0"/>
                <w:sz w:val="24"/>
                <w:szCs w:val="24"/>
              </w:rPr>
              <w:t>救援方向</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b/>
                <w:bCs/>
                <w:snapToGrid w:val="0"/>
                <w:color w:val="000000"/>
                <w:kern w:val="0"/>
                <w:sz w:val="24"/>
                <w:szCs w:val="24"/>
              </w:rPr>
            </w:pPr>
            <w:r>
              <w:rPr>
                <w:rFonts w:ascii="Arial" w:hAnsi="Arial" w:eastAsia="仿宋_GB2312" w:cs="Arial"/>
                <w:b/>
                <w:bCs/>
                <w:snapToGrid w:val="0"/>
                <w:color w:val="000000"/>
                <w:kern w:val="0"/>
                <w:sz w:val="24"/>
                <w:szCs w:val="24"/>
              </w:rPr>
              <w:t>救援内容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1</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建筑物坍塌搜索与救援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综合分析建筑坍塌现场险情，制定救援方案;利用犬搜索、仪器搜索和人工搜索的方法搜寻被困人员，并准确定位，通过破拆、支撑、牵引、加固等措施开辟救生通道，并成功处置。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2</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山地(绳索)救援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综合分析地形地势，制定救援方案;利用绳索、安全吊带及滑轮、上升器、下降器等辅助救援装备搭建救援系统，搜寻被困人员，并成功处置。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3</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危险化学品应急救援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综合分析现场险情，判定危险特性和周边敏感目标，制定救援方案;动态监测可燃、有毒有害危险化学品的浓度、扩散等情况，扑灭现场明火或控制泄漏源与泄漏物，成功营救遇险人员，并科学清除事故现场残留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4</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矿山(隧道)救援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综合分析事故现场塌方、冒顶、掩体、透水等险情，制定救援方案;动态监测通风、有毒有害气体、矿尘、温度和巷道支护等情况，科学调控风流，确定被困人员位置，打通生命通道，并科学处置。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5</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水域搜索与救援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根据水域深浅、水面宽度、水流方向和流速、水质条件和坡岸安全性等情况，综合分析险情，制定救援方案;利用绳索、舟艇、潜水等技术对遇险人员或货物实施救助，并成功处置。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6</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地质灾害应急救援</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实时监测发生崩塌、滑坡、泥石流、地面塌陷等次生地质灾害事故的可能性及危险性，综合分析现场险情，制定救援方案;利用生命探测仪等侦检装备，及时搜寻发现被困人员，采用掘进、顶撑、破拆等技术手段开展救援，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7</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森林火灾扑救</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根据不同火场环境及火险等级，综合分析火场风向、地势、天气、时间、可燃物及周边敏感目标，研判火势发展方向，制定救援方案;采取地面直接扑火、地面间接灭火、以火灭火、航空灭火、人工增雨灭火等综合扑火技术开展救援行动，并成功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32"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8</w:t>
            </w:r>
          </w:p>
        </w:tc>
        <w:tc>
          <w:tcPr>
            <w:tcW w:w="2651"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center"/>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其他</w:t>
            </w:r>
          </w:p>
        </w:tc>
        <w:tc>
          <w:tcPr>
            <w:tcW w:w="9985" w:type="dxa"/>
            <w:tcBorders>
              <w:top w:val="single" w:color="000000" w:sz="2" w:space="0"/>
              <w:bottom w:val="single" w:color="000000" w:sz="2"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64" w:leftChars="20" w:right="64" w:rightChars="20" w:firstLine="0" w:firstLineChars="0"/>
              <w:jc w:val="both"/>
              <w:textAlignment w:val="baseline"/>
              <w:rPr>
                <w:rFonts w:ascii="Arial" w:hAnsi="Arial" w:eastAsia="仿宋_GB2312" w:cs="Arial"/>
                <w:snapToGrid w:val="0"/>
                <w:color w:val="000000"/>
                <w:kern w:val="0"/>
                <w:sz w:val="24"/>
                <w:szCs w:val="24"/>
              </w:rPr>
            </w:pPr>
            <w:r>
              <w:rPr>
                <w:rFonts w:ascii="Arial" w:hAnsi="Arial" w:eastAsia="仿宋_GB2312" w:cs="Arial"/>
                <w:snapToGrid w:val="0"/>
                <w:color w:val="000000"/>
                <w:kern w:val="0"/>
                <w:sz w:val="24"/>
                <w:szCs w:val="24"/>
              </w:rPr>
              <w:t>综合分析研判现场灾情或事故性质程度及范围等情况，制定救援或应急处置方案，对遇险人员或货物实施救助，并成功处置。</w:t>
            </w:r>
          </w:p>
        </w:tc>
      </w:tr>
    </w:tbl>
    <w:p>
      <w:pPr>
        <w:pStyle w:val="6"/>
        <w:rPr>
          <w:rFonts w:hint="eastAsia"/>
        </w:rPr>
        <w:sectPr>
          <w:pgSz w:w="16838" w:h="11906" w:orient="landscape"/>
          <w:pgMar w:top="1531" w:right="1701" w:bottom="1531" w:left="1701" w:header="851" w:footer="992" w:gutter="0"/>
          <w:pgNumType w:fmt="decimal"/>
          <w:cols w:space="0" w:num="1"/>
          <w:rtlGutter w:val="0"/>
          <w:docGrid w:type="lines" w:linePitch="312" w:charSpace="0"/>
        </w:sectPr>
      </w:pPr>
    </w:p>
    <w:tbl>
      <w:tblPr>
        <w:tblStyle w:val="11"/>
        <w:tblpPr w:leftFromText="181" w:rightFromText="181" w:tblpYSpec="bottom"/>
        <w:tblOverlap w:val="never"/>
        <w:tblW w:w="9003"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00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9003" w:type="dxa"/>
            <w:noWrap w:val="0"/>
            <w:vAlign w:val="center"/>
          </w:tcPr>
          <w:p>
            <w:pPr>
              <w:keepNext w:val="0"/>
              <w:keepLines w:val="0"/>
              <w:pageBreakBefore w:val="0"/>
              <w:widowControl w:val="0"/>
              <w:kinsoku/>
              <w:wordWrap/>
              <w:overflowPunct/>
              <w:topLinePunct w:val="0"/>
              <w:autoSpaceDE/>
              <w:autoSpaceDN/>
              <w:bidi w:val="0"/>
              <w:adjustRightInd/>
              <w:snapToGrid/>
              <w:spacing w:before="89" w:beforeLines="20" w:after="89" w:afterLines="20" w:line="300" w:lineRule="exact"/>
              <w:ind w:left="0" w:leftChars="0" w:firstLine="0" w:firstLineChars="0"/>
              <w:textAlignment w:val="auto"/>
              <w:rPr>
                <w:rFonts w:hint="eastAsia" w:ascii="仿宋_GB2312" w:eastAsia="仿宋_GB2312"/>
                <w:kern w:val="2"/>
                <w:sz w:val="28"/>
                <w:szCs w:val="28"/>
              </w:rPr>
            </w:pPr>
            <w:r>
              <w:rPr>
                <w:rFonts w:hint="eastAsia" w:ascii="仿宋_GB2312" w:eastAsia="仿宋_GB2312"/>
                <w:kern w:val="2"/>
                <w:sz w:val="28"/>
                <w:szCs w:val="28"/>
              </w:rPr>
              <w:t>台州市应急管理局办公室                     202</w:t>
            </w:r>
            <w:r>
              <w:rPr>
                <w:rFonts w:hint="eastAsia" w:ascii="仿宋_GB2312" w:eastAsia="仿宋_GB2312"/>
                <w:kern w:val="2"/>
                <w:sz w:val="28"/>
                <w:szCs w:val="28"/>
                <w:lang w:val="en-US" w:eastAsia="zh-CN"/>
              </w:rPr>
              <w:t>2</w:t>
            </w:r>
            <w:r>
              <w:rPr>
                <w:rFonts w:hint="eastAsia" w:ascii="仿宋_GB2312" w:eastAsia="仿宋_GB2312"/>
                <w:kern w:val="2"/>
                <w:sz w:val="28"/>
                <w:szCs w:val="28"/>
              </w:rPr>
              <w:t>年</w:t>
            </w:r>
            <w:r>
              <w:rPr>
                <w:rFonts w:hint="eastAsia"/>
                <w:kern w:val="2"/>
                <w:sz w:val="28"/>
                <w:szCs w:val="28"/>
                <w:lang w:val="en-US" w:eastAsia="zh-CN"/>
              </w:rPr>
              <w:t>8</w:t>
            </w:r>
            <w:r>
              <w:rPr>
                <w:rFonts w:hint="eastAsia" w:ascii="仿宋_GB2312" w:eastAsia="仿宋_GB2312"/>
                <w:kern w:val="2"/>
                <w:sz w:val="28"/>
                <w:szCs w:val="28"/>
              </w:rPr>
              <w:t>月</w:t>
            </w:r>
            <w:r>
              <w:rPr>
                <w:rFonts w:hint="eastAsia"/>
                <w:kern w:val="2"/>
                <w:sz w:val="28"/>
                <w:szCs w:val="28"/>
                <w:lang w:val="en-US" w:eastAsia="zh-CN"/>
              </w:rPr>
              <w:t>31</w:t>
            </w:r>
            <w:r>
              <w:rPr>
                <w:rFonts w:hint="eastAsia" w:ascii="仿宋_GB2312" w:eastAsia="仿宋_GB2312"/>
                <w:kern w:val="2"/>
                <w:sz w:val="28"/>
                <w:szCs w:val="28"/>
              </w:rPr>
              <w:t>日印发</w:t>
            </w:r>
          </w:p>
        </w:tc>
      </w:tr>
    </w:tbl>
    <w:p>
      <w:pPr>
        <w:pStyle w:val="6"/>
        <w:ind w:firstLine="1600" w:firstLineChars="500"/>
        <w:rPr>
          <w:rFonts w:hint="eastAsia"/>
        </w:rPr>
      </w:pPr>
    </w:p>
    <w:sectPr>
      <w:pgSz w:w="11906" w:h="16838"/>
      <w:pgMar w:top="1701"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微软雅黑">
    <w:altName w:val="汉仪旗黑KW 55S"/>
    <w:panose1 w:val="020B0503020204020204"/>
    <w:charset w:val="00"/>
    <w:family w:val="auto"/>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FFE875"/>
    <w:rsid w:val="2EF788D3"/>
    <w:rsid w:val="37FF6F52"/>
    <w:rsid w:val="3EBC9DEA"/>
    <w:rsid w:val="3F9D110D"/>
    <w:rsid w:val="5ABFCF57"/>
    <w:rsid w:val="6F718BCE"/>
    <w:rsid w:val="6FE1196A"/>
    <w:rsid w:val="797F88C1"/>
    <w:rsid w:val="7B3FC463"/>
    <w:rsid w:val="A676F0AB"/>
    <w:rsid w:val="D73E5BC6"/>
    <w:rsid w:val="DD4DC192"/>
    <w:rsid w:val="DEFFE875"/>
    <w:rsid w:val="E77E1BE0"/>
    <w:rsid w:val="EBBB0A2F"/>
    <w:rsid w:val="FD9FB49F"/>
    <w:rsid w:val="FEBD437B"/>
    <w:rsid w:val="FF9F7DBE"/>
    <w:rsid w:val="FFF545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topLinePunct/>
      <w:adjustRightInd w:val="0"/>
      <w:snapToGrid w:val="0"/>
      <w:spacing w:line="600" w:lineRule="exact"/>
      <w:ind w:firstLine="440" w:firstLineChars="200"/>
      <w:jc w:val="both"/>
    </w:pPr>
    <w:rPr>
      <w:rFonts w:ascii="仿宋_GB2312" w:hAnsi="仿宋_GB2312" w:eastAsia="仿宋_GB2312" w:cs="Times New Roman"/>
      <w:sz w:val="32"/>
      <w:szCs w:val="22"/>
      <w:lang w:val="en-US" w:eastAsia="zh-CN" w:bidi="ar-SA"/>
    </w:rPr>
  </w:style>
  <w:style w:type="paragraph" w:styleId="3">
    <w:name w:val="heading 1"/>
    <w:basedOn w:val="1"/>
    <w:next w:val="1"/>
    <w:link w:val="14"/>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方正小标宋简体" w:cs="方正小标宋简体"/>
      <w:kern w:val="44"/>
      <w:sz w:val="44"/>
      <w:szCs w:val="24"/>
    </w:rPr>
  </w:style>
  <w:style w:type="paragraph" w:styleId="4">
    <w:name w:val="heading 2"/>
    <w:basedOn w:val="1"/>
    <w:next w:val="1"/>
    <w:link w:val="15"/>
    <w:unhideWhenUsed/>
    <w:qFormat/>
    <w:uiPriority w:val="0"/>
    <w:pPr>
      <w:keepNext w:val="0"/>
      <w:keepLines w:val="0"/>
      <w:spacing w:beforeLines="0" w:beforeAutospacing="0" w:afterLines="0" w:afterAutospacing="0" w:line="600" w:lineRule="exact"/>
      <w:ind w:firstLine="800" w:firstLineChars="200"/>
      <w:jc w:val="left"/>
      <w:outlineLvl w:val="1"/>
    </w:pPr>
    <w:rPr>
      <w:rFonts w:ascii="黑体" w:hAnsi="黑体" w:eastAsia="黑体"/>
    </w:rPr>
  </w:style>
  <w:style w:type="paragraph" w:styleId="5">
    <w:name w:val="heading 3"/>
    <w:basedOn w:val="1"/>
    <w:next w:val="1"/>
    <w:link w:val="16"/>
    <w:unhideWhenUsed/>
    <w:qFormat/>
    <w:uiPriority w:val="0"/>
    <w:pPr>
      <w:keepNext w:val="0"/>
      <w:keepLines w:val="0"/>
      <w:spacing w:beforeLines="0" w:beforeAutospacing="0" w:afterLines="0" w:afterAutospacing="0" w:line="600" w:lineRule="exact"/>
      <w:ind w:firstLine="640" w:firstLineChars="200"/>
      <w:jc w:val="left"/>
      <w:outlineLvl w:val="2"/>
    </w:pPr>
    <w:rPr>
      <w:rFonts w:ascii="楷体_GB2312" w:hAnsi="楷体_GB2312" w:eastAsia="楷体_GB2312"/>
      <w:b/>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next w:val="1"/>
    <w:qFormat/>
    <w:uiPriority w:val="0"/>
    <w:pPr>
      <w:widowControl w:val="0"/>
      <w:spacing w:afterLines="0" w:line="500" w:lineRule="exact"/>
      <w:ind w:firstLine="0" w:firstLineChars="200"/>
      <w:jc w:val="both"/>
    </w:pPr>
    <w:rPr>
      <w:rFonts w:ascii="仿宋_GB2312" w:hAnsi="仿宋_GB2312" w:eastAsia="宋体" w:cs="Times New Roman"/>
      <w:kern w:val="2"/>
      <w:sz w:val="28"/>
      <w:szCs w:val="24"/>
      <w:lang w:val="en-US" w:eastAsia="zh-CN" w:bidi="ar-SA"/>
    </w:rPr>
  </w:style>
  <w:style w:type="paragraph" w:styleId="6">
    <w:name w:val="Normal Indent"/>
    <w:basedOn w:val="1"/>
    <w:qFormat/>
    <w:uiPriority w:val="0"/>
    <w:pPr>
      <w:ind w:firstLine="420" w:firstLineChars="200"/>
    </w:pPr>
  </w:style>
  <w:style w:type="paragraph" w:styleId="7">
    <w:name w:val="Body Text"/>
    <w:next w:val="8"/>
    <w:qFormat/>
    <w:uiPriority w:val="0"/>
    <w:pPr>
      <w:widowControl w:val="0"/>
      <w:spacing w:afterLines="0" w:line="600" w:lineRule="exact"/>
      <w:ind w:firstLine="600" w:firstLineChars="200"/>
      <w:jc w:val="both"/>
    </w:pPr>
    <w:rPr>
      <w:rFonts w:ascii="仿宋_GB2312" w:hAnsi="仿宋_GB2312" w:eastAsia="仿宋_GB2312" w:cs="Times New Roman"/>
      <w:kern w:val="2"/>
      <w:sz w:val="32"/>
      <w:szCs w:val="24"/>
      <w:lang w:val="en-US" w:eastAsia="zh-CN" w:bidi="ar-SA"/>
    </w:rPr>
  </w:style>
  <w:style w:type="paragraph" w:customStyle="1" w:styleId="8">
    <w:name w:val="正文首行缩进1"/>
    <w:qFormat/>
    <w:uiPriority w:val="0"/>
    <w:pPr>
      <w:widowControl w:val="0"/>
      <w:spacing w:afterLines="0" w:line="500" w:lineRule="exact"/>
      <w:ind w:firstLine="420" w:firstLineChars="200"/>
      <w:jc w:val="both"/>
    </w:pPr>
    <w:rPr>
      <w:rFonts w:ascii="仿宋_GB2312" w:hAnsi="仿宋_GB2312" w:eastAsia="仿宋_GB2312" w:cs="Times New Roman"/>
      <w:kern w:val="2"/>
      <w:sz w:val="28"/>
      <w:szCs w:val="24"/>
      <w:lang w:val="en-US" w:eastAsia="zh-CN" w:bidi="ar-SA"/>
    </w:rPr>
  </w:style>
  <w:style w:type="paragraph" w:styleId="9">
    <w:name w:val="footer"/>
    <w:basedOn w:val="1"/>
    <w:qFormat/>
    <w:uiPriority w:val="0"/>
    <w:pPr>
      <w:tabs>
        <w:tab w:val="center" w:pos="4153"/>
        <w:tab w:val="right" w:pos="8306"/>
      </w:tabs>
      <w:snapToGrid w:val="0"/>
      <w:spacing w:line="240" w:lineRule="auto"/>
      <w:ind w:firstLine="0" w:firstLineChars="0"/>
      <w:jc w:val="left"/>
    </w:pPr>
    <w:rPr>
      <w:rFonts w:asciiTheme="minorEastAsia" w:hAnsiTheme="minorEastAsia" w:eastAsiaTheme="minorEastAsia"/>
      <w:sz w:val="24"/>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3">
    <w:name w:val="NormalCharacter"/>
    <w:link w:val="1"/>
    <w:semiHidden/>
    <w:qFormat/>
    <w:uiPriority w:val="0"/>
    <w:rPr>
      <w:rFonts w:ascii="仿宋_GB2312" w:hAnsi="仿宋_GB2312" w:eastAsia="仿宋_GB2312" w:cs="Times New Roman"/>
      <w:kern w:val="2"/>
      <w:sz w:val="32"/>
      <w:szCs w:val="24"/>
      <w:lang w:val="en-US" w:eastAsia="zh-CN" w:bidi="ar-SA"/>
    </w:rPr>
  </w:style>
  <w:style w:type="character" w:customStyle="1" w:styleId="14">
    <w:name w:val="标题 1 Char"/>
    <w:link w:val="3"/>
    <w:qFormat/>
    <w:uiPriority w:val="0"/>
    <w:rPr>
      <w:rFonts w:ascii="Times New Roman" w:hAnsi="Times New Roman" w:eastAsia="方正小标宋简体" w:cs="方正小标宋简体"/>
      <w:kern w:val="44"/>
      <w:sz w:val="44"/>
      <w:szCs w:val="24"/>
    </w:rPr>
  </w:style>
  <w:style w:type="character" w:customStyle="1" w:styleId="15">
    <w:name w:val="标题 2 Char"/>
    <w:link w:val="4"/>
    <w:qFormat/>
    <w:uiPriority w:val="0"/>
    <w:rPr>
      <w:rFonts w:ascii="黑体" w:hAnsi="黑体" w:eastAsia="黑体" w:cs="Times New Roman"/>
      <w:sz w:val="32"/>
    </w:rPr>
  </w:style>
  <w:style w:type="character" w:customStyle="1" w:styleId="16">
    <w:name w:val="标题 3 Char"/>
    <w:link w:val="5"/>
    <w:qFormat/>
    <w:uiPriority w:val="0"/>
    <w:rPr>
      <w:rFonts w:ascii="楷体_GB2312" w:hAnsi="楷体_GB2312" w:eastAsia="楷体_GB2312" w:cs="Times New Roman"/>
      <w:b/>
      <w:sz w:val="32"/>
    </w:rPr>
  </w:style>
  <w:style w:type="paragraph" w:customStyle="1" w:styleId="17">
    <w:name w:val="表格"/>
    <w:basedOn w:val="1"/>
    <w:next w:val="1"/>
    <w:qFormat/>
    <w:uiPriority w:val="0"/>
    <w:pPr>
      <w:spacing w:line="320" w:lineRule="exact"/>
      <w:ind w:firstLine="0" w:firstLineChars="0"/>
    </w:pPr>
    <w:rPr>
      <w:rFonts w:eastAsia="仿宋_GB2312"/>
      <w:sz w:val="24"/>
      <w:szCs w:val="24"/>
    </w:rPr>
  </w:style>
  <w:style w:type="paragraph" w:customStyle="1" w:styleId="18">
    <w:name w:val="落款"/>
    <w:basedOn w:val="17"/>
    <w:qFormat/>
    <w:uiPriority w:val="0"/>
    <w:pPr>
      <w:spacing w:line="600" w:lineRule="exact"/>
      <w:jc w:val="center"/>
    </w:pPr>
    <w:rPr>
      <w:rFonts w:eastAsia="楷体_GB2312"/>
      <w:sz w:val="32"/>
    </w:rPr>
  </w:style>
  <w:style w:type="paragraph" w:customStyle="1" w:styleId="19">
    <w:name w:val="第X章"/>
    <w:basedOn w:val="1"/>
    <w:next w:val="1"/>
    <w:uiPriority w:val="0"/>
    <w:pPr>
      <w:spacing w:before="100" w:beforeLines="100" w:after="100" w:afterLines="100"/>
      <w:ind w:firstLine="0" w:firstLineChars="0"/>
      <w:jc w:val="center"/>
    </w:pPr>
    <w:rPr>
      <w:rFonts w:ascii="黑体" w:hAnsi="黑体" w:eastAsia="黑体"/>
      <w:szCs w:val="32"/>
    </w:rPr>
  </w:style>
  <w:style w:type="table" w:customStyle="1" w:styleId="20">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2022-09-01T09:16:00Z</dcterms:created>
  <dc:creator>admin</dc:creator>
  <cp:lastModifiedBy>admin</cp:lastModifiedBy>
  <dcterms:modified xsi:type="dcterms:W3CDTF">2022-09-03T14:47:28Z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