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pPr w:leftFromText="181" w:rightFromText="181" w:vertAnchor="page" w:horzAnchor="page" w:tblpXSpec="center" w:tblpY="2609"/>
        <w:tblOverlap w:val="never"/>
        <w:tblW w:w="9055" w:type="dxa"/>
        <w:jc w:val="center"/>
        <w:tblLayout w:type="fixed"/>
        <w:tblCellMar>
          <w:top w:w="0" w:type="dxa"/>
          <w:left w:w="108" w:type="dxa"/>
          <w:bottom w:w="0" w:type="dxa"/>
          <w:right w:w="108" w:type="dxa"/>
        </w:tblCellMar>
      </w:tblPr>
      <w:tblGrid>
        <w:gridCol w:w="6200"/>
        <w:gridCol w:w="1181"/>
        <w:gridCol w:w="339"/>
        <w:gridCol w:w="1335"/>
      </w:tblGrid>
      <w:tr>
        <w:tblPrEx>
          <w:tblCellMar>
            <w:top w:w="0" w:type="dxa"/>
            <w:left w:w="108" w:type="dxa"/>
            <w:bottom w:w="0" w:type="dxa"/>
            <w:right w:w="108" w:type="dxa"/>
          </w:tblCellMar>
        </w:tblPrEx>
        <w:trPr>
          <w:trHeight w:val="1417" w:hRule="exact"/>
          <w:jc w:val="center"/>
        </w:trPr>
        <w:tc>
          <w:tcPr>
            <w:tcW w:w="7381" w:type="dxa"/>
            <w:gridSpan w:val="2"/>
            <w:noWrap w:val="0"/>
            <w:vAlign w:val="center"/>
          </w:tcPr>
          <w:p>
            <w:pPr>
              <w:topLinePunct w:val="0"/>
              <w:adjustRightInd/>
              <w:snapToGrid/>
              <w:spacing w:line="240" w:lineRule="auto"/>
              <w:ind w:firstLine="0" w:firstLineChars="0"/>
              <w:jc w:val="distribute"/>
              <w:rPr>
                <w:rFonts w:ascii="方正小标宋简体" w:hAnsi="方正小标宋简体" w:eastAsia="方正小标宋简体" w:cs="方正小标宋简体"/>
                <w:color w:val="FF0000"/>
                <w:kern w:val="2"/>
                <w:sz w:val="86"/>
                <w:szCs w:val="86"/>
              </w:rPr>
            </w:pPr>
            <w:r>
              <w:rPr>
                <w:rFonts w:hint="eastAsia" w:ascii="方正小标宋简体" w:hAnsi="方正小标宋简体" w:eastAsia="方正小标宋简体" w:cs="方正小标宋简体"/>
                <w:color w:val="FF0000"/>
                <w:w w:val="90"/>
                <w:kern w:val="2"/>
                <w:sz w:val="86"/>
                <w:szCs w:val="86"/>
              </w:rPr>
              <w:t>台州市应急管理局</w:t>
            </w:r>
          </w:p>
        </w:tc>
        <w:tc>
          <w:tcPr>
            <w:tcW w:w="1674" w:type="dxa"/>
            <w:gridSpan w:val="2"/>
            <w:vMerge w:val="restart"/>
            <w:noWrap w:val="0"/>
            <w:vAlign w:val="center"/>
          </w:tcPr>
          <w:p>
            <w:pPr>
              <w:topLinePunct w:val="0"/>
              <w:adjustRightInd/>
              <w:snapToGrid/>
              <w:spacing w:line="240" w:lineRule="auto"/>
              <w:ind w:firstLine="0" w:firstLineChars="0"/>
              <w:jc w:val="center"/>
              <w:rPr>
                <w:rFonts w:hint="eastAsia" w:ascii="方正小标宋简体" w:hAnsi="Calibri" w:eastAsia="方正小标宋简体"/>
                <w:color w:val="FFFFFF"/>
                <w:w w:val="90"/>
                <w:kern w:val="2"/>
                <w:sz w:val="68"/>
                <w:szCs w:val="68"/>
              </w:rPr>
            </w:pPr>
            <w:r>
              <w:rPr>
                <w:rFonts w:hint="eastAsia" w:ascii="方正小标宋简体" w:hAnsi="Calibri" w:eastAsia="方正小标宋简体"/>
                <w:color w:val="FF0000"/>
                <w:spacing w:val="40"/>
                <w:w w:val="70"/>
                <w:kern w:val="2"/>
                <w:sz w:val="86"/>
                <w:szCs w:val="86"/>
              </w:rPr>
              <w:t>文件</w:t>
            </w:r>
          </w:p>
        </w:tc>
      </w:tr>
      <w:tr>
        <w:tblPrEx>
          <w:tblCellMar>
            <w:top w:w="0" w:type="dxa"/>
            <w:left w:w="108" w:type="dxa"/>
            <w:bottom w:w="0" w:type="dxa"/>
            <w:right w:w="108" w:type="dxa"/>
          </w:tblCellMar>
        </w:tblPrEx>
        <w:trPr>
          <w:trHeight w:val="1417" w:hRule="exact"/>
          <w:jc w:val="center"/>
        </w:trPr>
        <w:tc>
          <w:tcPr>
            <w:tcW w:w="7381" w:type="dxa"/>
            <w:gridSpan w:val="2"/>
            <w:noWrap w:val="0"/>
            <w:vAlign w:val="center"/>
          </w:tcPr>
          <w:p>
            <w:pPr>
              <w:topLinePunct w:val="0"/>
              <w:adjustRightInd/>
              <w:snapToGrid/>
              <w:spacing w:line="240" w:lineRule="auto"/>
              <w:ind w:firstLine="0" w:firstLineChars="0"/>
              <w:jc w:val="distribute"/>
              <w:rPr>
                <w:rFonts w:hint="eastAsia" w:ascii="方正小标宋简体" w:hAnsi="方正小标宋简体" w:eastAsia="方正小标宋简体" w:cs="方正小标宋简体"/>
                <w:color w:val="FF0000"/>
                <w:kern w:val="2"/>
                <w:sz w:val="86"/>
                <w:szCs w:val="86"/>
              </w:rPr>
            </w:pPr>
            <w:r>
              <w:rPr>
                <w:rFonts w:hint="eastAsia" w:ascii="方正小标宋简体" w:hAnsi="方正小标宋简体" w:eastAsia="方正小标宋简体" w:cs="方正小标宋简体"/>
                <w:color w:val="FF0000"/>
                <w:w w:val="60"/>
                <w:kern w:val="2"/>
                <w:sz w:val="86"/>
                <w:szCs w:val="86"/>
              </w:rPr>
              <w:t>台州市</w:t>
            </w:r>
            <w:r>
              <w:rPr>
                <w:rFonts w:hint="eastAsia" w:ascii="方正小标宋简体" w:hAnsi="方正小标宋简体" w:eastAsia="方正小标宋简体" w:cs="方正小标宋简体"/>
                <w:color w:val="FF0000"/>
                <w:w w:val="60"/>
                <w:kern w:val="2"/>
                <w:sz w:val="86"/>
                <w:szCs w:val="86"/>
                <w:lang w:eastAsia="zh-CN"/>
              </w:rPr>
              <w:t>人力资源和社会保障</w:t>
            </w:r>
            <w:r>
              <w:rPr>
                <w:rFonts w:hint="eastAsia" w:ascii="方正小标宋简体" w:hAnsi="方正小标宋简体" w:eastAsia="方正小标宋简体" w:cs="方正小标宋简体"/>
                <w:color w:val="FF0000"/>
                <w:w w:val="60"/>
                <w:kern w:val="2"/>
                <w:sz w:val="86"/>
                <w:szCs w:val="86"/>
              </w:rPr>
              <w:t>局</w:t>
            </w:r>
          </w:p>
        </w:tc>
        <w:tc>
          <w:tcPr>
            <w:tcW w:w="1674" w:type="dxa"/>
            <w:gridSpan w:val="2"/>
            <w:vMerge w:val="continue"/>
            <w:noWrap w:val="0"/>
            <w:vAlign w:val="center"/>
          </w:tcPr>
          <w:p>
            <w:pPr>
              <w:topLinePunct w:val="0"/>
              <w:adjustRightInd/>
              <w:snapToGrid/>
              <w:spacing w:line="240" w:lineRule="auto"/>
              <w:ind w:firstLine="0" w:firstLineChars="0"/>
              <w:jc w:val="center"/>
              <w:rPr>
                <w:rFonts w:hint="eastAsia" w:ascii="方正小标宋简体" w:hAnsi="Calibri" w:eastAsia="方正小标宋简体"/>
                <w:color w:val="FFFFFF"/>
                <w:w w:val="90"/>
                <w:kern w:val="2"/>
                <w:sz w:val="68"/>
                <w:szCs w:val="68"/>
              </w:rPr>
            </w:pPr>
          </w:p>
        </w:tc>
      </w:tr>
      <w:tr>
        <w:tblPrEx>
          <w:tblCellMar>
            <w:top w:w="0" w:type="dxa"/>
            <w:left w:w="108" w:type="dxa"/>
            <w:bottom w:w="0" w:type="dxa"/>
            <w:right w:w="108" w:type="dxa"/>
          </w:tblCellMar>
        </w:tblPrEx>
        <w:trPr>
          <w:trHeight w:val="791" w:hRule="atLeast"/>
          <w:jc w:val="center"/>
        </w:trPr>
        <w:tc>
          <w:tcPr>
            <w:tcW w:w="6200" w:type="dxa"/>
            <w:noWrap w:val="0"/>
            <w:vAlign w:val="bottom"/>
          </w:tcPr>
          <w:p>
            <w:pPr>
              <w:topLinePunct w:val="0"/>
              <w:adjustRightInd/>
              <w:snapToGrid/>
              <w:spacing w:line="240" w:lineRule="auto"/>
              <w:ind w:firstLine="0" w:firstLineChars="0"/>
              <w:rPr>
                <w:rFonts w:hint="eastAsia" w:ascii="Calibri" w:hAnsi="Calibri" w:eastAsia="宋体"/>
                <w:kern w:val="2"/>
                <w:sz w:val="21"/>
                <w:szCs w:val="24"/>
              </w:rPr>
            </w:pPr>
          </w:p>
        </w:tc>
        <w:tc>
          <w:tcPr>
            <w:tcW w:w="1520" w:type="dxa"/>
            <w:gridSpan w:val="2"/>
            <w:noWrap w:val="0"/>
            <w:vAlign w:val="bottom"/>
          </w:tcPr>
          <w:p>
            <w:pPr>
              <w:topLinePunct w:val="0"/>
              <w:adjustRightInd/>
              <w:snapToGrid/>
              <w:spacing w:line="240" w:lineRule="auto"/>
              <w:ind w:firstLine="0" w:firstLineChars="0"/>
              <w:rPr>
                <w:rFonts w:hint="eastAsia" w:ascii="Calibri" w:hAnsi="Calibri" w:eastAsia="宋体"/>
                <w:kern w:val="2"/>
                <w:sz w:val="21"/>
                <w:szCs w:val="24"/>
              </w:rPr>
            </w:pPr>
          </w:p>
        </w:tc>
        <w:tc>
          <w:tcPr>
            <w:tcW w:w="1335" w:type="dxa"/>
            <w:noWrap w:val="0"/>
            <w:vAlign w:val="bottom"/>
          </w:tcPr>
          <w:p>
            <w:pPr>
              <w:topLinePunct w:val="0"/>
              <w:adjustRightInd/>
              <w:snapToGrid/>
              <w:spacing w:line="360" w:lineRule="exact"/>
              <w:ind w:firstLine="0" w:firstLineChars="0"/>
              <w:jc w:val="center"/>
              <w:rPr>
                <w:rFonts w:hint="eastAsia" w:ascii="Calibri" w:hAnsi="Calibri" w:eastAsia="宋体"/>
                <w:kern w:val="2"/>
                <w:sz w:val="21"/>
                <w:szCs w:val="24"/>
              </w:rPr>
            </w:pPr>
          </w:p>
        </w:tc>
      </w:tr>
      <w:tr>
        <w:tblPrEx>
          <w:tblCellMar>
            <w:top w:w="0" w:type="dxa"/>
            <w:left w:w="108" w:type="dxa"/>
            <w:bottom w:w="0" w:type="dxa"/>
            <w:right w:w="108" w:type="dxa"/>
          </w:tblCellMar>
        </w:tblPrEx>
        <w:trPr>
          <w:trHeight w:val="791" w:hRule="atLeast"/>
          <w:jc w:val="center"/>
        </w:trPr>
        <w:tc>
          <w:tcPr>
            <w:tcW w:w="9055" w:type="dxa"/>
            <w:gridSpan w:val="4"/>
            <w:tcBorders>
              <w:bottom w:val="single" w:color="FF0000" w:sz="18" w:space="0"/>
            </w:tcBorders>
            <w:noWrap w:val="0"/>
            <w:vAlign w:val="center"/>
          </w:tcPr>
          <w:p>
            <w:pPr>
              <w:topLinePunct w:val="0"/>
              <w:adjustRightInd/>
              <w:snapToGrid/>
              <w:spacing w:line="400" w:lineRule="exact"/>
              <w:ind w:firstLine="0" w:firstLineChars="0"/>
              <w:jc w:val="center"/>
              <w:rPr>
                <w:rFonts w:hint="eastAsia" w:ascii="仿宋_GB2312" w:hAnsi="Calibri" w:eastAsia="仿宋_GB2312"/>
                <w:color w:val="000000"/>
                <w:kern w:val="2"/>
                <w:sz w:val="32"/>
                <w:szCs w:val="32"/>
              </w:rPr>
            </w:pPr>
            <w:r>
              <w:rPr>
                <w:rFonts w:hint="eastAsia" w:ascii="仿宋_GB2312" w:hAnsi="仿宋_GB2312" w:eastAsia="仿宋_GB2312" w:cs="仿宋_GB2312"/>
                <w:color w:val="000000"/>
                <w:kern w:val="2"/>
                <w:sz w:val="32"/>
                <w:szCs w:val="32"/>
              </w:rPr>
              <w:t>台应急〔2022〕</w:t>
            </w:r>
            <w:r>
              <w:rPr>
                <w:rFonts w:hint="eastAsia" w:cs="仿宋_GB2312"/>
                <w:color w:val="000000"/>
                <w:kern w:val="2"/>
                <w:sz w:val="32"/>
                <w:szCs w:val="32"/>
                <w:lang w:val="en-US" w:eastAsia="zh-CN"/>
              </w:rPr>
              <w:t>36</w:t>
            </w:r>
            <w:r>
              <w:rPr>
                <w:rFonts w:hint="eastAsia" w:ascii="仿宋_GB2312" w:hAnsi="仿宋_GB2312" w:eastAsia="仿宋_GB2312" w:cs="仿宋_GB2312"/>
                <w:color w:val="000000"/>
                <w:kern w:val="2"/>
                <w:sz w:val="32"/>
                <w:szCs w:val="32"/>
              </w:rPr>
              <w:t>号</w:t>
            </w:r>
          </w:p>
        </w:tc>
      </w:tr>
    </w:tbl>
    <w:p>
      <w:pPr>
        <w:spacing w:line="500" w:lineRule="exact"/>
        <w:ind w:firstLine="0" w:firstLineChars="0"/>
        <w:jc w:val="center"/>
        <w:rPr>
          <w:rFonts w:ascii="宋体" w:hAnsi="宋体" w:eastAsia="宋体" w:cs="Times New Roman"/>
          <w:sz w:val="30"/>
          <w:szCs w:val="30"/>
        </w:rPr>
      </w:pPr>
    </w:p>
    <w:p>
      <w:pPr>
        <w:spacing w:line="620" w:lineRule="exact"/>
        <w:ind w:firstLine="0" w:firstLineChars="0"/>
        <w:jc w:val="center"/>
        <w:rPr>
          <w:rFonts w:ascii="宋体" w:hAnsi="宋体" w:eastAsia="宋体" w:cs="Times New Roman"/>
          <w:sz w:val="30"/>
          <w:szCs w:val="30"/>
        </w:rPr>
      </w:pPr>
    </w:p>
    <w:p/>
    <w:p>
      <w:pPr>
        <w:pStyle w:val="5"/>
        <w:bidi w:val="0"/>
        <w:rPr>
          <w:rFonts w:hint="eastAsia"/>
        </w:rPr>
      </w:pPr>
      <w:r>
        <w:rPr>
          <w:rFonts w:hint="eastAsia"/>
        </w:rPr>
        <w:t>关于2022年度应急管理领域工程师任职资格评审工作有关事项的通知</w:t>
      </w:r>
    </w:p>
    <w:p>
      <w:pPr>
        <w:keepNext w:val="0"/>
        <w:keepLines w:val="0"/>
        <w:pageBreakBefore w:val="0"/>
        <w:widowControl w:val="0"/>
        <w:kinsoku/>
        <w:wordWrap/>
        <w:overflowPunct/>
        <w:topLinePunct/>
        <w:autoSpaceDE/>
        <w:autoSpaceDN/>
        <w:bidi w:val="0"/>
        <w:adjustRightInd w:val="0"/>
        <w:snapToGrid w:val="0"/>
        <w:spacing w:line="580" w:lineRule="exact"/>
        <w:ind w:left="0" w:leftChars="0" w:firstLine="0" w:firstLineChars="0"/>
        <w:jc w:val="center"/>
        <w:textAlignment w:val="auto"/>
        <w:rPr>
          <w:rFonts w:hint="eastAsia" w:eastAsia="仿宋_GB2312"/>
          <w:lang w:eastAsia="zh-CN"/>
        </w:rPr>
      </w:pPr>
    </w:p>
    <w:p>
      <w:pPr>
        <w:keepNext w:val="0"/>
        <w:keepLines w:val="0"/>
        <w:pageBreakBefore w:val="0"/>
        <w:widowControl w:val="0"/>
        <w:kinsoku/>
        <w:wordWrap/>
        <w:overflowPunct/>
        <w:topLinePunct/>
        <w:autoSpaceDE/>
        <w:autoSpaceDN/>
        <w:bidi w:val="0"/>
        <w:adjustRightInd w:val="0"/>
        <w:snapToGrid w:val="0"/>
        <w:spacing w:line="580" w:lineRule="exact"/>
        <w:ind w:left="0" w:leftChars="0" w:firstLine="0" w:firstLineChars="0"/>
        <w:textAlignment w:val="auto"/>
        <w:rPr>
          <w:rFonts w:hint="eastAsia"/>
        </w:rPr>
      </w:pPr>
      <w:r>
        <w:rPr>
          <w:rFonts w:hint="eastAsia"/>
        </w:rPr>
        <w:t>各县（市、区）应急管理局、人力资源和社会保障局，市级有关单位:</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根据《台州市人力资源和社会保障局关于做好2022年度职称评审工作的通知》(台人社函〔2022〕7号)和职称评审有关规定，</w:t>
      </w:r>
      <w:r>
        <w:rPr>
          <w:rFonts w:hint="eastAsia"/>
          <w:lang w:eastAsia="zh-CN"/>
        </w:rPr>
        <w:t>现就</w:t>
      </w:r>
      <w:r>
        <w:rPr>
          <w:rFonts w:hint="eastAsia"/>
        </w:rPr>
        <w:t>做好2022年全市应急管理领域工程师职务任职资格评审工作通知如下：</w:t>
      </w:r>
    </w:p>
    <w:p>
      <w:pPr>
        <w:pStyle w:val="6"/>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一、申报对象</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default"/>
        </w:rPr>
      </w:pPr>
      <w:r>
        <w:rPr>
          <w:rFonts w:hint="eastAsia"/>
        </w:rPr>
        <w:t>全市企事业单位从事防灾减灾和应急救援等专业工作人员（安全工程专业以考代评，通过注册安全工程师考试获得相应任职资格，不参加中级职称评审）</w:t>
      </w:r>
      <w:r>
        <w:rPr>
          <w:rFonts w:hint="default"/>
        </w:rPr>
        <w:t>。</w:t>
      </w:r>
    </w:p>
    <w:p>
      <w:pPr>
        <w:pStyle w:val="6"/>
        <w:bidi w:val="0"/>
        <w:rPr>
          <w:rFonts w:hint="eastAsia"/>
        </w:rPr>
      </w:pPr>
      <w:r>
        <w:rPr>
          <w:rFonts w:hint="eastAsia"/>
        </w:rPr>
        <w:t>二、申报条件</w:t>
      </w:r>
    </w:p>
    <w:p>
      <w:pPr>
        <w:rPr>
          <w:rFonts w:hint="eastAsia"/>
        </w:rPr>
      </w:pPr>
      <w:r>
        <w:rPr>
          <w:rStyle w:val="17"/>
          <w:rFonts w:hint="eastAsia"/>
        </w:rPr>
        <w:t>（一）基本条件。</w:t>
      </w:r>
      <w:r>
        <w:rPr>
          <w:rFonts w:hint="eastAsia"/>
        </w:rPr>
        <w:t>资格评审按照《关于印发</w:t>
      </w:r>
      <w:r>
        <w:rPr>
          <w:rFonts w:hint="eastAsia"/>
          <w:lang w:val="en-US" w:eastAsia="zh-CN"/>
        </w:rPr>
        <w:t>&lt;</w:t>
      </w:r>
      <w:r>
        <w:rPr>
          <w:rFonts w:hint="eastAsia"/>
        </w:rPr>
        <w:t>台州市应急管理领域专业技术人员工程师职务任职资格评审实施方案（试行）</w:t>
      </w:r>
      <w:r>
        <w:rPr>
          <w:rFonts w:hint="eastAsia"/>
          <w:lang w:val="en-US" w:eastAsia="zh-CN"/>
        </w:rPr>
        <w:t>&gt;</w:t>
      </w:r>
      <w:r>
        <w:rPr>
          <w:rFonts w:hint="eastAsia"/>
        </w:rPr>
        <w:t>的通知》（台应急〔2022〕35号）中，《台州市应急救援专业工程师职务任职资格评价条件（试行）》和《台州市防灾减灾专业工程师职务任职资格评价条件（试行）》（见附件1）的有关规定执行。在生产一线岗位从事技术技能工作的高技能人才，可按有关规定申报相应职称评审，畅通职业发展通道。</w:t>
      </w:r>
    </w:p>
    <w:p>
      <w:pPr>
        <w:pStyle w:val="7"/>
        <w:bidi w:val="0"/>
        <w:rPr>
          <w:rFonts w:hint="eastAsia"/>
        </w:rPr>
      </w:pPr>
      <w:r>
        <w:rPr>
          <w:rFonts w:hint="eastAsia"/>
        </w:rPr>
        <w:t>（二）其他政策规定。</w:t>
      </w:r>
    </w:p>
    <w:p>
      <w:pPr>
        <w:rPr>
          <w:rFonts w:hint="eastAsia"/>
        </w:rPr>
      </w:pPr>
      <w:r>
        <w:rPr>
          <w:rFonts w:hint="eastAsia"/>
        </w:rPr>
        <w:t>1.继续教育要求。强化“评价+培养”的专业技术人才队伍建设模式，将继续教育学时要求作为申报评审的必备条件，并纳入评价指标体系。其中一般公需科目要求近三年累计不得少于54学时(2020年-2022年，2022年不得少于18学时),专业科目和行业公需科目按照各行业主管部门《评审公告》要求执行。</w:t>
      </w:r>
    </w:p>
    <w:p>
      <w:pPr>
        <w:rPr>
          <w:rFonts w:hint="eastAsia"/>
        </w:rPr>
      </w:pPr>
      <w:r>
        <w:rPr>
          <w:rFonts w:hint="eastAsia"/>
        </w:rPr>
        <w:t>2.论文不作为申报的必备条件，作为评审的重要参考依据。有论文提供的，必须在论文后面附上相应的第三方检索报告（包含相似度检测），无第三方检索报告（包含相似度检测）的，视作无此论文。指定第三方检索机构：清华同方、中国知网、万方数据库和维普中文科技期刊数据库。如相似度超过50</w:t>
      </w:r>
      <w:r>
        <w:rPr>
          <w:rFonts w:hint="default"/>
        </w:rPr>
        <w:t>%</w:t>
      </w:r>
      <w:r>
        <w:rPr>
          <w:rFonts w:hint="eastAsia"/>
        </w:rPr>
        <w:t>的，评审时实行“一票否决”。</w:t>
      </w:r>
    </w:p>
    <w:p>
      <w:pPr>
        <w:rPr>
          <w:rFonts w:hint="eastAsia"/>
        </w:rPr>
      </w:pPr>
      <w:r>
        <w:rPr>
          <w:rFonts w:hint="eastAsia"/>
        </w:rPr>
        <w:t>3.计算机应用能力和外语水平不作为申报的必备条件，作为评审的参考依据。</w:t>
      </w:r>
    </w:p>
    <w:p>
      <w:pPr>
        <w:rPr>
          <w:rFonts w:hint="eastAsia"/>
        </w:rPr>
      </w:pPr>
      <w:r>
        <w:rPr>
          <w:rFonts w:hint="eastAsia"/>
        </w:rPr>
        <w:t>4.专业技术人员近3年年度考核要求合格及以上等级。</w:t>
      </w:r>
    </w:p>
    <w:p>
      <w:pPr>
        <w:rPr>
          <w:rFonts w:hint="eastAsia"/>
        </w:rPr>
      </w:pPr>
      <w:r>
        <w:rPr>
          <w:rFonts w:hint="eastAsia"/>
        </w:rPr>
        <w:t>5.申报对象的现职专业技术职务任职时间计算到2022年12</w:t>
      </w:r>
    </w:p>
    <w:p>
      <w:pPr>
        <w:ind w:left="0" w:leftChars="0" w:firstLine="0" w:firstLineChars="0"/>
        <w:rPr>
          <w:rFonts w:hint="eastAsia"/>
        </w:rPr>
      </w:pPr>
      <w:r>
        <w:rPr>
          <w:rFonts w:hint="eastAsia"/>
        </w:rPr>
        <w:t>月31日。</w:t>
      </w:r>
    </w:p>
    <w:p>
      <w:pPr>
        <w:rPr>
          <w:rFonts w:hint="eastAsia"/>
        </w:rPr>
      </w:pPr>
      <w:r>
        <w:rPr>
          <w:rFonts w:hint="eastAsia"/>
        </w:rPr>
        <w:t>6.其他方面要求。</w:t>
      </w:r>
    </w:p>
    <w:p>
      <w:pPr>
        <w:rPr>
          <w:rFonts w:hint="eastAsia"/>
        </w:rPr>
      </w:pPr>
      <w:r>
        <w:rPr>
          <w:rFonts w:hint="eastAsia"/>
        </w:rPr>
        <w:t>（1）德才要求。坚持把品德放在评价首位，强调政治表现、廉洁自律、道德品行。同时，将技术创新、专利、成果转化、技术推广、标准制定、决策咨询、公共服务作为评价的重要内容，特别关注长期工作在一线的优秀工程技术人员。</w:t>
      </w:r>
    </w:p>
    <w:p>
      <w:pPr>
        <w:rPr>
          <w:rFonts w:hint="eastAsia"/>
        </w:rPr>
      </w:pPr>
      <w:r>
        <w:rPr>
          <w:rFonts w:hint="eastAsia"/>
        </w:rPr>
        <w:t>（2）学历认证要求。对于1990年以后取得的国内大专及以上学历的申报对象须提供《教育部学历证书电子注册备案表》（“中国高等教育学生信息网”上打印），若无法提供，则提供《中国高等教育学历认证报告》；国外的学历、学位须提供教育部留学服务中心认证的《国外学历学位认证书》；港澳台地区的学历、学位须提供教育部留学服务中心认证的《港澳台学历学位认证书》,方可按相应学历学位申报专业技术资格评价。</w:t>
      </w:r>
    </w:p>
    <w:p>
      <w:pPr>
        <w:rPr>
          <w:rFonts w:hint="eastAsia"/>
        </w:rPr>
      </w:pPr>
      <w:r>
        <w:rPr>
          <w:rFonts w:hint="eastAsia"/>
        </w:rPr>
        <w:t>（3）申报对象要求。职称评审原则上要按照人事隶属关系进行申报(社会保险、人事档案、劳动关系三者一致),申报对象原 则上须在我市连续缴纳社会保险6个月以上，且当前处于正常参 保缴费状态。被派驻到市外连续工作一年以上的专业技术人才， 由人事隶属关系所在单位提出申请，经同级人力社保部门核准备 案后，可在人事隶属关系所在地申报评审。</w:t>
      </w:r>
    </w:p>
    <w:p>
      <w:pPr>
        <w:rPr>
          <w:rFonts w:hint="eastAsia"/>
        </w:rPr>
      </w:pPr>
      <w:r>
        <w:rPr>
          <w:rFonts w:hint="eastAsia"/>
        </w:rPr>
        <w:t>（4）从外省、地、中央部属单位调入和军队转业的专业技术人员，对其原取得的中级专业技术资格需按台州市人力社保局相关文件要求进行审定、确认。</w:t>
      </w:r>
    </w:p>
    <w:p>
      <w:pPr>
        <w:rPr>
          <w:rFonts w:hint="eastAsia"/>
        </w:rPr>
      </w:pPr>
      <w:r>
        <w:rPr>
          <w:rFonts w:hint="eastAsia"/>
        </w:rPr>
        <w:t>（5）2021年未通过评审，且2022年无新业绩体现的人员，不得连续申报。</w:t>
      </w:r>
    </w:p>
    <w:p>
      <w:pPr>
        <w:rPr>
          <w:rFonts w:hint="eastAsia"/>
        </w:rPr>
      </w:pPr>
      <w:r>
        <w:rPr>
          <w:rFonts w:hint="eastAsia"/>
        </w:rPr>
        <w:t>（6）</w:t>
      </w:r>
      <w:r>
        <w:rPr>
          <w:rFonts w:hint="eastAsia"/>
          <w:lang w:val="en-US" w:eastAsia="zh-CN"/>
        </w:rPr>
        <w:t>事业单位评聘结合要求。事业单位专业技术人员职称评审应在核定的专业技术岗位结构比例内进行.根据空缺岗位数和工作需要，在符合申报条件的人员中根据考核结果和履职情况择优推荐参加评审，并在单位内进行公示。职称申报系统已接入省人事工资系统中岗位审批相关数据，系统可根据人员性质自行判断是否已有拟聘职称岗位，申报时无需提交《事业单位人员职称申报岗位信息表》。</w:t>
      </w:r>
    </w:p>
    <w:p>
      <w:pPr>
        <w:rPr>
          <w:rFonts w:hint="eastAsia"/>
        </w:rPr>
      </w:pPr>
      <w:r>
        <w:rPr>
          <w:rFonts w:hint="eastAsia"/>
        </w:rPr>
        <w:t>（</w:t>
      </w:r>
      <w:r>
        <w:rPr>
          <w:rFonts w:hint="eastAsia"/>
          <w:lang w:val="en-US" w:eastAsia="zh-CN"/>
        </w:rPr>
        <w:t>7</w:t>
      </w:r>
      <w:r>
        <w:rPr>
          <w:rFonts w:hint="eastAsia"/>
        </w:rPr>
        <w:t>）各单位按照规定程序，借鉴经信等部门的做法，逐级统一审核、确认、推荐。各县（市、区）的申报材料需经当地行业主管部门会同当地人力社保部门，市直单位的经市行业主管局审核、推荐后，按申报类别、专业分别报送。市级无主管部门的股份制、民营等非公企业现职从事</w:t>
      </w:r>
      <w:r>
        <w:rPr>
          <w:rFonts w:hint="eastAsia"/>
          <w:lang w:eastAsia="zh-CN"/>
        </w:rPr>
        <w:t>应急管理领域专业</w:t>
      </w:r>
      <w:r>
        <w:rPr>
          <w:rFonts w:hint="eastAsia"/>
        </w:rPr>
        <w:t>技术工作的人员，可通过其市级人事代理机构审核同意后按申报类别、专业分别报送。</w:t>
      </w:r>
    </w:p>
    <w:p>
      <w:pPr>
        <w:pStyle w:val="6"/>
        <w:bidi w:val="0"/>
        <w:rPr>
          <w:rFonts w:hint="eastAsia"/>
        </w:rPr>
      </w:pPr>
      <w:r>
        <w:rPr>
          <w:rFonts w:hint="eastAsia"/>
        </w:rPr>
        <w:t>三、申报程序</w:t>
      </w:r>
    </w:p>
    <w:p>
      <w:pPr>
        <w:rPr>
          <w:rFonts w:hint="eastAsia"/>
        </w:rPr>
      </w:pPr>
      <w:r>
        <w:rPr>
          <w:rFonts w:hint="eastAsia"/>
        </w:rPr>
        <w:t>根据全省数字化改革的统一部署，今年职称申报与评审继续 在“浙江省专业技术职务任职资格申报与评审管理服务平台”(网址：https://zcps.rlsbt.zj.gov.cn，以下简称：平台)上进行。通过个人申报、单位审核、主管部门、人力社保部门以及中评委推荐等程序上报。</w:t>
      </w:r>
    </w:p>
    <w:p>
      <w:pPr>
        <w:rPr>
          <w:rFonts w:hint="eastAsia"/>
        </w:rPr>
      </w:pPr>
      <w:r>
        <w:rPr>
          <w:rStyle w:val="17"/>
          <w:rFonts w:hint="eastAsia"/>
        </w:rPr>
        <w:t>（一）个人申报。</w:t>
      </w:r>
      <w:r>
        <w:rPr>
          <w:rFonts w:hint="eastAsia"/>
        </w:rPr>
        <w:t>申报人员登录“平台”后，按要求完善个人基本信息、业绩档案，填报评审材料，并对填报信息真实性作出承诺。表中“申报专业”应与其他申报表格中“现从事专业”信息相一致。</w:t>
      </w:r>
    </w:p>
    <w:p>
      <w:pPr>
        <w:rPr>
          <w:rFonts w:hint="eastAsia"/>
        </w:rPr>
      </w:pPr>
      <w:r>
        <w:rPr>
          <w:rStyle w:val="17"/>
          <w:rFonts w:hint="eastAsia"/>
        </w:rPr>
        <w:t>（二）单位审核。</w:t>
      </w:r>
      <w:r>
        <w:rPr>
          <w:rFonts w:hint="eastAsia"/>
        </w:rPr>
        <w:t>申报人员所在单位负责对申报人员业绩档案信息和职称申报信息进行审核，对送审材料的真实性、准确性、完整性负责。同时进行不少于5个工作日的公示，经公示无异议后上报。</w:t>
      </w:r>
    </w:p>
    <w:p>
      <w:pPr>
        <w:rPr>
          <w:rFonts w:hint="eastAsia"/>
        </w:rPr>
      </w:pPr>
      <w:r>
        <w:rPr>
          <w:rStyle w:val="17"/>
          <w:rFonts w:hint="eastAsia"/>
        </w:rPr>
        <w:t>（三）主管部门</w:t>
      </w:r>
      <w:r>
        <w:rPr>
          <w:rStyle w:val="17"/>
          <w:rFonts w:hint="eastAsia" w:eastAsia="楷体_GB2312"/>
          <w:lang w:eastAsia="zh-CN"/>
        </w:rPr>
        <w:t>（</w:t>
      </w:r>
      <w:r>
        <w:rPr>
          <w:rStyle w:val="17"/>
          <w:rFonts w:hint="eastAsia"/>
        </w:rPr>
        <w:t>初评委</w:t>
      </w:r>
      <w:r>
        <w:rPr>
          <w:rStyle w:val="17"/>
          <w:rFonts w:hint="eastAsia" w:eastAsia="楷体_GB2312"/>
          <w:lang w:eastAsia="zh-CN"/>
        </w:rPr>
        <w:t>）</w:t>
      </w:r>
      <w:r>
        <w:rPr>
          <w:rStyle w:val="17"/>
          <w:rFonts w:hint="eastAsia"/>
        </w:rPr>
        <w:t>推荐。</w:t>
      </w:r>
      <w:r>
        <w:rPr>
          <w:rFonts w:hint="eastAsia"/>
        </w:rPr>
        <w:t>申报人员所在地应急管理主管部门、人力社保部门</w:t>
      </w:r>
      <w:r>
        <w:rPr>
          <w:rFonts w:hint="eastAsia"/>
          <w:lang w:eastAsia="zh-CN"/>
        </w:rPr>
        <w:t>（</w:t>
      </w:r>
      <w:r>
        <w:rPr>
          <w:rFonts w:hint="eastAsia"/>
        </w:rPr>
        <w:t>初评委</w:t>
      </w:r>
      <w:r>
        <w:rPr>
          <w:rFonts w:hint="eastAsia"/>
          <w:lang w:eastAsia="zh-CN"/>
        </w:rPr>
        <w:t>）</w:t>
      </w:r>
      <w:r>
        <w:rPr>
          <w:rFonts w:hint="eastAsia"/>
        </w:rPr>
        <w:t>需登录管理平台进行材料接收、审核和推荐工作（网址：https://zcps.rlsbt.zj.gov.cn/028/login.jsp）。</w:t>
      </w:r>
    </w:p>
    <w:p>
      <w:pPr>
        <w:rPr>
          <w:rFonts w:hint="eastAsia"/>
        </w:rPr>
      </w:pPr>
      <w:r>
        <w:rPr>
          <w:rFonts w:hint="eastAsia"/>
        </w:rPr>
        <w:t>申报人员、所在单位的账号与浙江政务服务网个人、法人登陆账号相同，并自行注册；有关主管部门和初评委账号由市里统一分配。具体申报办法、审核操作办法详见附件</w:t>
      </w:r>
      <w:r>
        <w:rPr>
          <w:rFonts w:hint="eastAsia"/>
          <w:lang w:val="en-US" w:eastAsia="zh-CN"/>
        </w:rPr>
        <w:t>2</w:t>
      </w:r>
      <w:r>
        <w:rPr>
          <w:rFonts w:hint="eastAsia"/>
        </w:rPr>
        <w:t>、</w:t>
      </w:r>
      <w:r>
        <w:rPr>
          <w:rFonts w:hint="eastAsia"/>
          <w:lang w:val="en-US" w:eastAsia="zh-CN"/>
        </w:rPr>
        <w:t>3</w:t>
      </w:r>
      <w:r>
        <w:rPr>
          <w:rFonts w:hint="eastAsia"/>
        </w:rPr>
        <w:t>。</w:t>
      </w:r>
    </w:p>
    <w:p>
      <w:pPr>
        <w:pStyle w:val="6"/>
        <w:bidi w:val="0"/>
        <w:rPr>
          <w:rFonts w:hint="eastAsia"/>
        </w:rPr>
      </w:pPr>
      <w:r>
        <w:rPr>
          <w:rFonts w:hint="eastAsia"/>
        </w:rPr>
        <w:t>四、时间安排</w:t>
      </w:r>
    </w:p>
    <w:p>
      <w:pPr>
        <w:rPr>
          <w:rFonts w:hint="eastAsia"/>
        </w:rPr>
      </w:pPr>
      <w:r>
        <w:rPr>
          <w:rFonts w:hint="eastAsia"/>
        </w:rPr>
        <w:t>2022年度应急管理领域工程师资格申报、推荐、评审工作将安排在9-10月进行。网上申报时间2022年9月</w:t>
      </w:r>
      <w:r>
        <w:rPr>
          <w:rFonts w:hint="eastAsia"/>
          <w:lang w:val="en-US" w:eastAsia="zh-CN"/>
        </w:rPr>
        <w:t>8</w:t>
      </w:r>
      <w:r>
        <w:rPr>
          <w:rFonts w:hint="eastAsia"/>
        </w:rPr>
        <w:t>日至9月20日，所在单位审核报送截止时间为9月25日；各县市区应急管理主管部门</w:t>
      </w:r>
      <w:r>
        <w:rPr>
          <w:rFonts w:hint="eastAsia"/>
          <w:lang w:eastAsia="zh-CN"/>
        </w:rPr>
        <w:t>和人力社保部门需</w:t>
      </w:r>
      <w:r>
        <w:rPr>
          <w:rFonts w:hint="eastAsia"/>
        </w:rPr>
        <w:t>在9月30日前将本辖区内申报工程师资格纸质材料和网上申报材料报台州市应急管理领域中级专业技术职称评审委员会办公室。请各相关申报对象和单位恪守时间表，且勿将材料未齐者（以提供相应材料原件为准）纳入推荐上报范围。逾期一律不再受理申报。因延误造成的相关损失由申报对象和单位自行承担。各地2022年度工程技术专业资格申报咨询、材料受理机构、地点等信息详见附件1</w:t>
      </w:r>
      <w:r>
        <w:rPr>
          <w:rFonts w:hint="eastAsia"/>
          <w:lang w:val="en-US" w:eastAsia="zh-CN"/>
        </w:rPr>
        <w:t>0</w:t>
      </w:r>
      <w:r>
        <w:rPr>
          <w:rFonts w:hint="eastAsia"/>
        </w:rPr>
        <w:t>。</w:t>
      </w:r>
    </w:p>
    <w:p>
      <w:pPr>
        <w:pStyle w:val="6"/>
        <w:bidi w:val="0"/>
        <w:rPr>
          <w:rFonts w:hint="eastAsia"/>
        </w:rPr>
      </w:pPr>
      <w:r>
        <w:rPr>
          <w:rFonts w:hint="eastAsia"/>
        </w:rPr>
        <w:t>五、材料要求</w:t>
      </w:r>
    </w:p>
    <w:p>
      <w:pPr>
        <w:rPr>
          <w:rFonts w:hint="eastAsia"/>
        </w:rPr>
      </w:pPr>
      <w:r>
        <w:rPr>
          <w:rFonts w:hint="eastAsia"/>
        </w:rPr>
        <w:t>（一）申报人员提交评审的业绩材料要突出代表性，不宜过多过杂。各单位对申报人员基本情况和业绩材料在本单位进行公示，公示情况在填写审核意见时录入系统。因申报材料不符合要求等产生的不利影响由个人和推荐单位负责，申报材料报送具体要求见附件</w:t>
      </w:r>
      <w:r>
        <w:rPr>
          <w:rFonts w:hint="eastAsia"/>
          <w:lang w:val="en-US" w:eastAsia="zh-CN"/>
        </w:rPr>
        <w:t>4</w:t>
      </w:r>
      <w:r>
        <w:rPr>
          <w:rFonts w:hint="eastAsia"/>
        </w:rPr>
        <w:t>。</w:t>
      </w:r>
    </w:p>
    <w:p>
      <w:pPr>
        <w:rPr>
          <w:rFonts w:hint="eastAsia"/>
        </w:rPr>
      </w:pPr>
      <w:r>
        <w:rPr>
          <w:rFonts w:hint="eastAsia"/>
        </w:rPr>
        <w:t>（二）送审和扫描的材料要求真实规范，符合规定的送审程序。当地应急管理主管部门以及人力社保部门需核查原件。</w:t>
      </w:r>
    </w:p>
    <w:p>
      <w:pPr>
        <w:rPr>
          <w:rFonts w:hint="eastAsia"/>
        </w:rPr>
      </w:pPr>
      <w:r>
        <w:rPr>
          <w:rFonts w:hint="eastAsia"/>
        </w:rPr>
        <w:t>（三）根据省厅要求，评审材料由本人或所在单位自留底稿，除评审通过人员的《专业技术职务任职资格评审表》外，其他材料一律不退。</w:t>
      </w:r>
    </w:p>
    <w:p>
      <w:pPr>
        <w:pStyle w:val="6"/>
        <w:bidi w:val="0"/>
        <w:rPr>
          <w:rFonts w:hint="eastAsia"/>
        </w:rPr>
      </w:pPr>
      <w:r>
        <w:rPr>
          <w:rFonts w:hint="eastAsia"/>
        </w:rPr>
        <w:t>六、严肃申报纪律</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一）对不符合规定要求的送审材料，各级审核单位在网上直接退回或审核不通过，市应急管理领域中评委办公室将不予受理。在网上申报材料审核提交后以及评审中发现申报材料不符合要求的，不再补充、修改材料，由此产生的不利影响由个人及推荐单位负责。</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二）为申报对象及所在单位建立职称评审工作诚信档案库，并根据申报对象和所在单位弄虚作假行为的影响程度进行处理，情节严重的，将在台州市应急管理局网站上曝光，并记录不良行为1次或直接记入黑名单。</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（三）申报专业技术资格评审人员，有下列情况之一，取消其评审资格，其申报材料一律予以退回，使用的假材料予以收缴，并从评审次年起3年内不得申报高一级专业技术资格，已取得资格</w:t>
      </w:r>
      <w:r>
        <w:rPr>
          <w:rFonts w:hint="eastAsia"/>
          <w:lang w:eastAsia="zh-CN"/>
        </w:rPr>
        <w:t>要将</w:t>
      </w:r>
      <w:r>
        <w:rPr>
          <w:rFonts w:hint="eastAsia"/>
        </w:rPr>
        <w:t>其取消。在各类人事考试中违纪违规人员，并记录在浙江省诚信系统中的，在处分期内原则上不得申报参评。</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1.伪造、变造证件、证明等申报材料的；</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2.有违纪违法行为，仍在处理、处分、处罚阶段或任现职期间有严重违纪违法行为，在申报材料上未有反映的；</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3.凡是发现申报材料中有冒名或非法期刊上发表论文的；</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4.有其他严重违反评审规定行为的。</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四）职称工作政策性强，涉及面广、关注度高，各地各部门要切实加强对这项工作的领导和统一管理，认真贯彻执行国家和省、市职称工作有关政策规定，加强对本地区本部门职称工作的指导、协调和监督，切实负起责任，严肃工作纪律，严格工作要求，任何单位和部门不得擅开政策口子，确保职称工作顺利开展。</w:t>
      </w:r>
    </w:p>
    <w:p>
      <w:pPr>
        <w:pStyle w:val="6"/>
        <w:bidi w:val="0"/>
        <w:rPr>
          <w:rFonts w:hint="eastAsia"/>
        </w:rPr>
      </w:pPr>
      <w:r>
        <w:rPr>
          <w:rFonts w:hint="eastAsia"/>
        </w:rPr>
        <w:t>七、其他事项</w:t>
      </w:r>
    </w:p>
    <w:p>
      <w:pPr>
        <w:rPr>
          <w:rFonts w:hint="eastAsia"/>
        </w:rPr>
      </w:pPr>
      <w:r>
        <w:rPr>
          <w:rFonts w:hint="eastAsia"/>
        </w:rPr>
        <w:t>1.加强组织领导。今年是台州市应急管理领域专业技术人员工程师职务任职资格评审委员会成立的第一年，评审工作经验积累少，会碰到许多新情况新问题。各地要高度重视评审工作，加强组织领导，落实分管领导、业务科室和专门人员，及时开展业务研究，妥善解决评审工作中遇到的各种问题。要加强与经信部门的业务对接与沟通，学习借鉴工作方法，扎实开展平台和线下材料审核，稳妥有序开展评审工作。</w:t>
      </w:r>
    </w:p>
    <w:p>
      <w:pPr>
        <w:rPr>
          <w:rFonts w:hint="eastAsia"/>
        </w:rPr>
      </w:pPr>
      <w:r>
        <w:rPr>
          <w:rFonts w:hint="eastAsia"/>
        </w:rPr>
        <w:t>2.做好收费工作。根据要求，今年推荐评审费用采用线上缴款方式收取，具体方法为：待资格审查完毕、相关部门出具推荐意见后，申报对象根据12333短信提示内容务必在规定时间内完成费用缴纳，否则视作自动放弃推荐评审。推荐评审费标准按浙价费〔2002〕229号等相关文件执行，即中级为260元/人（其中推荐费为80元、评审费为180元）。启用电子发票，申报人员缴款成功后根据短信提示自行打印发票。</w:t>
      </w:r>
    </w:p>
    <w:p>
      <w:pPr>
        <w:pStyle w:val="6"/>
        <w:bidi w:val="0"/>
        <w:rPr>
          <w:rFonts w:hint="eastAsia"/>
        </w:rPr>
      </w:pPr>
      <w:r>
        <w:rPr>
          <w:rFonts w:hint="eastAsia"/>
        </w:rPr>
        <w:t>八、联系方式</w:t>
      </w:r>
    </w:p>
    <w:p>
      <w:pPr>
        <w:rPr>
          <w:rFonts w:hint="eastAsia"/>
        </w:rPr>
      </w:pPr>
      <w:r>
        <w:rPr>
          <w:rFonts w:hint="eastAsia"/>
        </w:rPr>
        <w:t>联系人：苏元钧，联系电话：0576-88511395，地址：台州市椒江区白云山西路300号应急综合大楼1313室。</w:t>
      </w:r>
    </w:p>
    <w:p>
      <w:pPr>
        <w:rPr>
          <w:rFonts w:hint="eastAsia"/>
        </w:rPr>
      </w:pPr>
    </w:p>
    <w:p>
      <w:pPr>
        <w:ind w:left="1920" w:leftChars="200" w:hanging="1280" w:hangingChars="400"/>
        <w:rPr>
          <w:rFonts w:hint="eastAsia"/>
        </w:rPr>
      </w:pPr>
      <w:r>
        <w:rPr>
          <w:rFonts w:hint="eastAsia"/>
        </w:rPr>
        <w:t>附件：1.《台州市应急救援专业工程师职务任职资格评价条件（试行）》和《台州市防灾减灾专业工程师职务任职资格评价条件（试行）》</w:t>
      </w:r>
    </w:p>
    <w:p>
      <w:pPr>
        <w:ind w:firstLine="1600" w:firstLineChars="500"/>
        <w:rPr>
          <w:rFonts w:hint="eastAsia"/>
        </w:rPr>
      </w:pPr>
      <w:r>
        <w:rPr>
          <w:rFonts w:hint="eastAsia"/>
        </w:rPr>
        <w:t>2.申报人员网上操作办法</w:t>
      </w:r>
    </w:p>
    <w:p>
      <w:pPr>
        <w:ind w:firstLine="1600" w:firstLineChars="500"/>
        <w:rPr>
          <w:rFonts w:hint="eastAsia"/>
        </w:rPr>
      </w:pPr>
      <w:r>
        <w:rPr>
          <w:rFonts w:hint="eastAsia"/>
        </w:rPr>
        <w:t>3.管理部门网上审核操作办法</w:t>
      </w:r>
    </w:p>
    <w:p>
      <w:pPr>
        <w:ind w:firstLine="1600" w:firstLineChars="500"/>
        <w:rPr>
          <w:rFonts w:hint="eastAsia"/>
        </w:rPr>
      </w:pPr>
      <w:r>
        <w:rPr>
          <w:rFonts w:hint="eastAsia"/>
        </w:rPr>
        <w:t>4.申报材料报送要求</w:t>
      </w:r>
    </w:p>
    <w:p>
      <w:pPr>
        <w:ind w:firstLine="1600" w:firstLineChars="500"/>
        <w:rPr>
          <w:rFonts w:hint="eastAsia"/>
        </w:rPr>
      </w:pPr>
      <w:r>
        <w:rPr>
          <w:rFonts w:hint="eastAsia"/>
        </w:rPr>
        <w:t>5.专业技术资格委托评审书</w:t>
      </w:r>
    </w:p>
    <w:p>
      <w:pPr>
        <w:ind w:firstLine="1600" w:firstLineChars="500"/>
        <w:rPr>
          <w:rFonts w:hint="eastAsia"/>
        </w:rPr>
      </w:pPr>
      <w:r>
        <w:rPr>
          <w:rFonts w:hint="eastAsia"/>
        </w:rPr>
        <w:t>6.申报材料袋封面</w:t>
      </w:r>
    </w:p>
    <w:p>
      <w:pPr>
        <w:ind w:firstLine="1600" w:firstLineChars="500"/>
        <w:rPr>
          <w:rFonts w:hint="eastAsia"/>
        </w:rPr>
      </w:pPr>
      <w:r>
        <w:rPr>
          <w:rFonts w:hint="eastAsia"/>
        </w:rPr>
        <w:t>7.申报材料档案袋标签</w:t>
      </w:r>
    </w:p>
    <w:p>
      <w:pPr>
        <w:ind w:firstLine="1600" w:firstLineChars="500"/>
        <w:rPr>
          <w:rFonts w:hint="eastAsia"/>
        </w:rPr>
      </w:pPr>
      <w:r>
        <w:rPr>
          <w:rFonts w:hint="eastAsia"/>
        </w:rPr>
        <w:t>8.评委会评审对象资格审查花名册</w:t>
      </w:r>
    </w:p>
    <w:p>
      <w:pPr>
        <w:ind w:firstLine="1600" w:firstLineChars="500"/>
        <w:rPr>
          <w:rFonts w:hint="eastAsia"/>
        </w:rPr>
      </w:pPr>
      <w:r>
        <w:rPr>
          <w:rFonts w:hint="eastAsia"/>
        </w:rPr>
        <w:t>9.继续教育相关文件</w:t>
      </w:r>
    </w:p>
    <w:p>
      <w:pPr>
        <w:ind w:left="1920" w:leftChars="500" w:hanging="320" w:hangingChars="100"/>
        <w:rPr>
          <w:rFonts w:hint="eastAsia"/>
        </w:rPr>
      </w:pPr>
      <w:r>
        <w:rPr>
          <w:rFonts w:hint="eastAsia"/>
        </w:rPr>
        <w:t>10.2022年度应急管理领域专业技术人员资格评审申报咨询、材料受理</w:t>
      </w:r>
      <w:r>
        <w:rPr>
          <w:rFonts w:hint="eastAsia"/>
          <w:lang w:eastAsia="zh-CN"/>
        </w:rPr>
        <w:t>点</w:t>
      </w:r>
      <w:r>
        <w:rPr>
          <w:rFonts w:hint="eastAsia"/>
        </w:rPr>
        <w:t>一览表</w:t>
      </w:r>
    </w:p>
    <w:p>
      <w:pPr>
        <w:rPr>
          <w:rFonts w:hint="eastAsia"/>
        </w:rPr>
      </w:pPr>
    </w:p>
    <w:p>
      <w:pPr>
        <w:rPr>
          <w:rFonts w:hint="eastAsia"/>
        </w:rPr>
      </w:pPr>
    </w:p>
    <w:p>
      <w:pPr>
        <w:ind w:left="0" w:leftChars="0" w:firstLine="0" w:firstLineChars="0"/>
        <w:rPr>
          <w:rFonts w:hint="eastAsia"/>
        </w:rPr>
      </w:pPr>
      <w:r>
        <w:rPr>
          <w:rFonts w:hint="eastAsia"/>
        </w:rPr>
        <w:t xml:space="preserve">台州市应急管理局   </w:t>
      </w:r>
      <w:r>
        <w:rPr>
          <w:rFonts w:hint="eastAsia"/>
          <w:lang w:val="en-US" w:eastAsia="zh-CN"/>
        </w:rPr>
        <w:t xml:space="preserve">       </w:t>
      </w:r>
      <w:r>
        <w:rPr>
          <w:rFonts w:hint="eastAsia"/>
        </w:rPr>
        <w:t xml:space="preserve">   台州市人力资源和社会保障局</w:t>
      </w:r>
    </w:p>
    <w:p>
      <w:pPr>
        <w:wordWrap w:val="0"/>
        <w:jc w:val="right"/>
        <w:rPr>
          <w:rFonts w:hint="default" w:eastAsia="仿宋_GB2312"/>
          <w:lang w:val="en-US" w:eastAsia="zh-CN"/>
        </w:rPr>
      </w:pPr>
      <w:r>
        <w:rPr>
          <w:rFonts w:hint="eastAsia"/>
        </w:rPr>
        <w:t>2022年</w:t>
      </w:r>
      <w:r>
        <w:rPr>
          <w:rFonts w:hint="eastAsia"/>
          <w:lang w:val="en-US" w:eastAsia="zh-CN"/>
        </w:rPr>
        <w:t>9</w:t>
      </w:r>
      <w:r>
        <w:rPr>
          <w:rFonts w:hint="eastAsia"/>
        </w:rPr>
        <w:t>月</w:t>
      </w:r>
      <w:r>
        <w:rPr>
          <w:rFonts w:hint="eastAsia"/>
          <w:lang w:val="en-US" w:eastAsia="zh-CN"/>
        </w:rPr>
        <w:t>7</w:t>
      </w:r>
      <w:r>
        <w:rPr>
          <w:rFonts w:hint="eastAsia"/>
        </w:rPr>
        <w:t>日</w:t>
      </w:r>
      <w:r>
        <w:rPr>
          <w:rFonts w:hint="eastAsia"/>
          <w:lang w:val="en-US" w:eastAsia="zh-CN"/>
        </w:rPr>
        <w:t xml:space="preserve">      </w:t>
      </w:r>
    </w:p>
    <w:p>
      <w:pPr>
        <w:rPr>
          <w:rFonts w:hint="eastAsia"/>
        </w:rPr>
        <w:sectPr>
          <w:footerReference r:id="rId5" w:type="default"/>
          <w:pgSz w:w="11906" w:h="16838"/>
          <w:pgMar w:top="1701" w:right="1531" w:bottom="1701" w:left="1531" w:header="851" w:footer="992" w:gutter="0"/>
          <w:pgNumType w:fmt="decimal"/>
          <w:cols w:space="0" w:num="1"/>
          <w:rtlGutter w:val="0"/>
          <w:docGrid w:type="lines" w:linePitch="312" w:charSpace="0"/>
        </w:sectPr>
      </w:pPr>
    </w:p>
    <w:p>
      <w:pPr>
        <w:ind w:left="0" w:leftChars="0" w:firstLine="0" w:firstLineChars="0"/>
        <w:rPr>
          <w:rFonts w:hint="eastAsia" w:ascii="黑体" w:hAnsi="黑体" w:eastAsia="黑体" w:cs="黑体"/>
        </w:rPr>
      </w:pPr>
      <w:r>
        <w:rPr>
          <w:rFonts w:hint="eastAsia" w:ascii="黑体" w:hAnsi="黑体" w:eastAsia="黑体" w:cs="黑体"/>
        </w:rPr>
        <w:t>附件1</w:t>
      </w:r>
    </w:p>
    <w:p>
      <w:pPr>
        <w:rPr>
          <w:rFonts w:hint="eastAsia" w:ascii="黑体" w:hAnsi="黑体" w:eastAsia="黑体" w:cs="黑体"/>
        </w:rPr>
      </w:pPr>
    </w:p>
    <w:p>
      <w:pPr>
        <w:pStyle w:val="5"/>
        <w:bidi w:val="0"/>
        <w:rPr>
          <w:rFonts w:hint="eastAsia"/>
        </w:rPr>
      </w:pPr>
      <w:r>
        <w:rPr>
          <w:rFonts w:hint="eastAsia"/>
        </w:rPr>
        <w:t>台州市防灾减灾领域工程师职务任职资格</w:t>
      </w:r>
    </w:p>
    <w:p>
      <w:pPr>
        <w:pStyle w:val="5"/>
        <w:bidi w:val="0"/>
        <w:rPr>
          <w:rFonts w:hint="eastAsia"/>
        </w:rPr>
      </w:pPr>
      <w:r>
        <w:rPr>
          <w:rFonts w:hint="eastAsia"/>
        </w:rPr>
        <w:t>评价条件（试行）</w:t>
      </w:r>
    </w:p>
    <w:p>
      <w:pPr>
        <w:pStyle w:val="20"/>
        <w:bidi w:val="0"/>
        <w:rPr>
          <w:rFonts w:hint="eastAsia"/>
        </w:rPr>
      </w:pPr>
      <w:r>
        <w:rPr>
          <w:rFonts w:hint="eastAsia"/>
        </w:rPr>
        <w:t>第一章 总 则</w:t>
      </w:r>
    </w:p>
    <w:p>
      <w:pPr>
        <w:rPr>
          <w:rFonts w:hint="eastAsia"/>
        </w:rPr>
      </w:pPr>
      <w:r>
        <w:rPr>
          <w:rStyle w:val="22"/>
          <w:rFonts w:hint="eastAsia"/>
        </w:rPr>
        <w:t xml:space="preserve">第一条  </w:t>
      </w:r>
      <w:r>
        <w:rPr>
          <w:rFonts w:hint="eastAsia"/>
        </w:rPr>
        <w:t>为客观公正评价防灾减灾领域技术人员的能力和水平，完善防灾减灾领域人才选拔机制，促进防灾减灾领域技术人才队伍整体素质提高，根据中央和省委有关深化职称制度改革意见，结合实际，制定本评价条件。</w:t>
      </w:r>
    </w:p>
    <w:p>
      <w:pPr>
        <w:rPr>
          <w:rFonts w:hint="eastAsia"/>
        </w:rPr>
      </w:pPr>
      <w:r>
        <w:rPr>
          <w:rStyle w:val="22"/>
          <w:rFonts w:hint="eastAsia"/>
        </w:rPr>
        <w:t xml:space="preserve">第二条  </w:t>
      </w:r>
      <w:r>
        <w:rPr>
          <w:rFonts w:hint="eastAsia"/>
        </w:rPr>
        <w:t>本评价条件适用于我市从事防灾减灾基础建设、防灾减灾技术等工作的专业技术人员申报工程师职务任职资格，其中事业单位人员应按照评聘结合原则执行。</w:t>
      </w:r>
    </w:p>
    <w:p>
      <w:pPr>
        <w:rPr>
          <w:rFonts w:hint="eastAsia"/>
        </w:rPr>
      </w:pPr>
      <w:r>
        <w:rPr>
          <w:rFonts w:hint="eastAsia"/>
        </w:rPr>
        <w:t>（一）防灾减灾基础建设相关工作：指从事防灾减灾相关标准制修订，综合减灾示范社区创建，应急物资储备规划，避灾安置场所建设，防灾减灾新技术、新方法开发与推广等工作。</w:t>
      </w:r>
    </w:p>
    <w:p>
      <w:pPr>
        <w:rPr>
          <w:rFonts w:hint="eastAsia"/>
        </w:rPr>
      </w:pPr>
      <w:r>
        <w:rPr>
          <w:rFonts w:hint="eastAsia"/>
        </w:rPr>
        <w:t>（二）防灾减灾技术相关工作：指从事自然灾害调查与评估，自然灾害综合监测预警，自然灾害防御工作指南、案例库编制，防灾减灾规划编制，自然灾害减灾和防治工程技术应用等工作。</w:t>
      </w:r>
    </w:p>
    <w:p>
      <w:pPr>
        <w:rPr>
          <w:rFonts w:hint="eastAsia"/>
        </w:rPr>
      </w:pPr>
      <w:r>
        <w:rPr>
          <w:rStyle w:val="22"/>
          <w:rFonts w:hint="eastAsia"/>
        </w:rPr>
        <w:t xml:space="preserve">第三条 </w:t>
      </w:r>
      <w:r>
        <w:rPr>
          <w:rFonts w:hint="eastAsia"/>
        </w:rPr>
        <w:t xml:space="preserve"> 按照本评价条件通过评审，获得防灾减灾领域工程师职务任职资格的人员，表明其具有相应的专业技术和学术水平，是聘任防灾减灾领域工程师职务的重要依据。</w:t>
      </w:r>
    </w:p>
    <w:p>
      <w:pPr>
        <w:pStyle w:val="20"/>
        <w:bidi w:val="0"/>
        <w:rPr>
          <w:rFonts w:hint="eastAsia"/>
        </w:rPr>
      </w:pPr>
      <w:r>
        <w:rPr>
          <w:rFonts w:hint="eastAsia"/>
        </w:rPr>
        <w:t>第二章 申报基本条件</w:t>
      </w:r>
    </w:p>
    <w:p>
      <w:pPr>
        <w:rPr>
          <w:rFonts w:hint="eastAsia"/>
        </w:rPr>
      </w:pPr>
      <w:r>
        <w:rPr>
          <w:rStyle w:val="22"/>
          <w:rFonts w:hint="eastAsia"/>
        </w:rPr>
        <w:t xml:space="preserve">第四条  </w:t>
      </w:r>
      <w:r>
        <w:rPr>
          <w:rFonts w:hint="eastAsia"/>
        </w:rPr>
        <w:t>申报人员应当遵守《中华人民共和国宪法》和法律法规，拥护中国共产党的领导，坚持党的路线方针政策，坚持社会主义核心价值观，热爱防灾减灾工作，认真履行岗位职责，具有良好的职业道德、学术修养和敬业精神，积极为防灾减灾事业服务。</w:t>
      </w:r>
    </w:p>
    <w:p>
      <w:pPr>
        <w:rPr>
          <w:rFonts w:hint="eastAsia"/>
        </w:rPr>
      </w:pPr>
      <w:r>
        <w:rPr>
          <w:rStyle w:val="22"/>
          <w:rFonts w:hint="eastAsia"/>
        </w:rPr>
        <w:t xml:space="preserve">第五条 </w:t>
      </w:r>
      <w:r>
        <w:rPr>
          <w:rFonts w:hint="eastAsia"/>
        </w:rPr>
        <w:t xml:space="preserve"> 符合下列条件之一者，可申报工程师职务任职资格：</w:t>
      </w:r>
    </w:p>
    <w:p>
      <w:pPr>
        <w:rPr>
          <w:rFonts w:hint="eastAsia"/>
        </w:rPr>
      </w:pPr>
      <w:r>
        <w:rPr>
          <w:rFonts w:hint="eastAsia"/>
        </w:rPr>
        <w:t>（一）获得相应理、工、农、医学科大学专科以上学历，取得助理工程师职务任职资格后，实际聘任助理工程师职务4年以上。</w:t>
      </w:r>
    </w:p>
    <w:p>
      <w:pPr>
        <w:rPr>
          <w:rFonts w:hint="eastAsia"/>
        </w:rPr>
      </w:pPr>
      <w:r>
        <w:rPr>
          <w:rFonts w:hint="eastAsia"/>
        </w:rPr>
        <w:t>（二）获得相应理、工、农、医学科硕士学位或第二学士学位，取得助理工程师职务任职资格后，实际聘任助理工程师职务2年以上。</w:t>
      </w:r>
    </w:p>
    <w:p>
      <w:pPr>
        <w:rPr>
          <w:rFonts w:hint="eastAsia"/>
        </w:rPr>
      </w:pPr>
      <w:r>
        <w:rPr>
          <w:rFonts w:hint="eastAsia"/>
        </w:rPr>
        <w:t>（三）任其他中级专业技术职务的人员，因岗位变动，需转评防灾减灾领域工程师职务任职资格的，应从事防灾减灾领域专业技术工作1年以上。</w:t>
      </w:r>
    </w:p>
    <w:p>
      <w:pPr>
        <w:rPr>
          <w:rFonts w:hint="eastAsia"/>
        </w:rPr>
      </w:pPr>
      <w:r>
        <w:rPr>
          <w:rStyle w:val="22"/>
          <w:rFonts w:hint="eastAsia"/>
        </w:rPr>
        <w:t>第六条</w:t>
      </w:r>
      <w:r>
        <w:rPr>
          <w:rFonts w:hint="eastAsia"/>
        </w:rPr>
        <w:t xml:space="preserve">  下列人员经考核合格，可初定工程师职务任职资格：</w:t>
      </w:r>
    </w:p>
    <w:p>
      <w:pPr>
        <w:rPr>
          <w:rFonts w:hint="eastAsia"/>
        </w:rPr>
      </w:pPr>
      <w:r>
        <w:rPr>
          <w:rFonts w:hint="eastAsia"/>
        </w:rPr>
        <w:t>（一）具有相应理、工、农、医学科研究生学历或硕士学位者，从事专业工作满3年（学历或学位取得前后从事防灾减灾领域的工作年限可以相加，但学历或学位取得后从事专业工作须满1年）。</w:t>
      </w:r>
    </w:p>
    <w:p>
      <w:pPr>
        <w:rPr>
          <w:rFonts w:hint="eastAsia"/>
        </w:rPr>
      </w:pPr>
      <w:r>
        <w:rPr>
          <w:rFonts w:hint="eastAsia"/>
        </w:rPr>
        <w:t>（二）具有相应理、工、农、医学科博士学位者。</w:t>
      </w:r>
    </w:p>
    <w:p>
      <w:pPr>
        <w:rPr>
          <w:rFonts w:hint="eastAsia"/>
        </w:rPr>
      </w:pPr>
      <w:r>
        <w:rPr>
          <w:rStyle w:val="22"/>
          <w:rFonts w:hint="eastAsia"/>
        </w:rPr>
        <w:t xml:space="preserve">第七条 </w:t>
      </w:r>
      <w:r>
        <w:rPr>
          <w:rFonts w:hint="eastAsia"/>
        </w:rPr>
        <w:t xml:space="preserve"> 申报工程师职务任职资格的，近4年年度考核为合格（或称职）以上等次。</w:t>
      </w:r>
    </w:p>
    <w:p>
      <w:pPr>
        <w:rPr>
          <w:rFonts w:hint="eastAsia"/>
        </w:rPr>
      </w:pPr>
      <w:r>
        <w:rPr>
          <w:rStyle w:val="22"/>
          <w:rFonts w:hint="eastAsia"/>
        </w:rPr>
        <w:t xml:space="preserve">第八条 </w:t>
      </w:r>
      <w:r>
        <w:rPr>
          <w:rFonts w:hint="eastAsia"/>
        </w:rPr>
        <w:t xml:space="preserve"> 申报评审防灾减灾领域工程师职务任职资格的，应当按照《浙江省应急管理专业技术人员继续教育学时登记细则》规定完成继续教育学习。</w:t>
      </w:r>
    </w:p>
    <w:p>
      <w:pPr>
        <w:pStyle w:val="20"/>
        <w:bidi w:val="0"/>
        <w:rPr>
          <w:rFonts w:hint="eastAsia"/>
        </w:rPr>
      </w:pPr>
      <w:r>
        <w:rPr>
          <w:rFonts w:hint="eastAsia"/>
        </w:rPr>
        <w:t>第三章 评审条件</w:t>
      </w:r>
    </w:p>
    <w:p>
      <w:pPr>
        <w:rPr>
          <w:rFonts w:hint="eastAsia"/>
        </w:rPr>
      </w:pPr>
      <w:r>
        <w:rPr>
          <w:rStyle w:val="22"/>
          <w:rFonts w:hint="eastAsia"/>
        </w:rPr>
        <w:t xml:space="preserve">第九条 </w:t>
      </w:r>
      <w:r>
        <w:rPr>
          <w:rFonts w:hint="eastAsia"/>
        </w:rPr>
        <w:t xml:space="preserve"> 申报防灾减灾领域工程师职务任职资格人员应达到的评审条件：</w:t>
      </w:r>
    </w:p>
    <w:p>
      <w:pPr>
        <w:rPr>
          <w:rFonts w:hint="eastAsia"/>
          <w:b/>
          <w:bCs/>
        </w:rPr>
      </w:pPr>
      <w:r>
        <w:rPr>
          <w:rFonts w:hint="eastAsia"/>
          <w:b/>
          <w:bCs/>
        </w:rPr>
        <w:t>（一）专业理论知识</w:t>
      </w:r>
    </w:p>
    <w:p>
      <w:pPr>
        <w:rPr>
          <w:rFonts w:hint="eastAsia"/>
        </w:rPr>
      </w:pPr>
      <w:r>
        <w:rPr>
          <w:rFonts w:hint="eastAsia"/>
        </w:rPr>
        <w:t>较系统地掌握防灾减灾领域的基础理论知识和专业技术知识，能较熟练地运用防灾减灾领域的技术标准、规范和规程，了解防灾减灾领域国内外技术现状和发展趋势。</w:t>
      </w:r>
    </w:p>
    <w:p>
      <w:pPr>
        <w:rPr>
          <w:rFonts w:hint="eastAsia"/>
          <w:b/>
          <w:bCs/>
        </w:rPr>
      </w:pPr>
      <w:r>
        <w:rPr>
          <w:rFonts w:hint="eastAsia"/>
          <w:b/>
          <w:bCs/>
        </w:rPr>
        <w:t>（二）专业技术工作经历与能力</w:t>
      </w:r>
    </w:p>
    <w:p>
      <w:pPr>
        <w:rPr>
          <w:rFonts w:hint="eastAsia"/>
        </w:rPr>
      </w:pPr>
      <w:r>
        <w:rPr>
          <w:rFonts w:hint="eastAsia"/>
        </w:rPr>
        <w:t>具有运用防灾减灾领域的理论和现有科研成果，进行防灾减灾技术服务，应急物资储备规划，避灾安置场所建设，灾害风险分析研判，自然灾害综合监测预警，防灾减灾新技术、新方法开发或推广的经历和能力。</w:t>
      </w:r>
    </w:p>
    <w:p>
      <w:pPr>
        <w:rPr>
          <w:rFonts w:hint="eastAsia"/>
          <w:b/>
          <w:bCs/>
        </w:rPr>
      </w:pPr>
      <w:r>
        <w:rPr>
          <w:rFonts w:hint="eastAsia"/>
          <w:b/>
          <w:bCs/>
        </w:rPr>
        <w:t>（三）专业技术工作业绩与成果</w:t>
      </w:r>
    </w:p>
    <w:p>
      <w:pPr>
        <w:rPr>
          <w:rFonts w:hint="eastAsia"/>
        </w:rPr>
      </w:pPr>
      <w:r>
        <w:rPr>
          <w:rFonts w:hint="eastAsia"/>
        </w:rPr>
        <w:t>任助理工程师期间，应至少具备下列条件之一：</w:t>
      </w:r>
    </w:p>
    <w:p>
      <w:pPr>
        <w:rPr>
          <w:rFonts w:hint="eastAsia"/>
        </w:rPr>
      </w:pPr>
      <w:r>
        <w:rPr>
          <w:rFonts w:hint="eastAsia"/>
        </w:rPr>
        <w:t>1.参与完成设区市（厅）级以上标准/规程/规范1项以上，并颁布实施。</w:t>
      </w:r>
    </w:p>
    <w:p>
      <w:pPr>
        <w:rPr>
          <w:rFonts w:hint="eastAsia"/>
        </w:rPr>
      </w:pPr>
      <w:r>
        <w:rPr>
          <w:rFonts w:hint="eastAsia"/>
        </w:rPr>
        <w:t>2.参与完成县级以上科研项目2项以上，并通过评审、验收。</w:t>
      </w:r>
    </w:p>
    <w:p>
      <w:pPr>
        <w:rPr>
          <w:rFonts w:hint="eastAsia"/>
        </w:rPr>
      </w:pPr>
      <w:r>
        <w:rPr>
          <w:rFonts w:hint="eastAsia"/>
        </w:rPr>
        <w:t>3.参与完成县级以上自然灾害风险评估报告8份以上，或参与完成自然灾害综合风险评估（区划）报告4份以上。</w:t>
      </w:r>
    </w:p>
    <w:p>
      <w:pPr>
        <w:rPr>
          <w:rFonts w:hint="eastAsia"/>
        </w:rPr>
      </w:pPr>
      <w:r>
        <w:rPr>
          <w:rFonts w:hint="eastAsia"/>
        </w:rPr>
        <w:t>4.参与县级以上自然灾害调查完成典型性调查评估报告、总结性调查评估报告4份以上，并通过审核。</w:t>
      </w:r>
    </w:p>
    <w:p>
      <w:pPr>
        <w:rPr>
          <w:rFonts w:hint="eastAsia"/>
        </w:rPr>
      </w:pPr>
      <w:r>
        <w:rPr>
          <w:rFonts w:hint="eastAsia"/>
        </w:rPr>
        <w:t>5.参与完成自然灾害防御工作指南、案例库或防灾减灾规划编制3项以上，并推广应用。</w:t>
      </w:r>
    </w:p>
    <w:p>
      <w:pPr>
        <w:rPr>
          <w:rFonts w:hint="eastAsia"/>
        </w:rPr>
      </w:pPr>
      <w:r>
        <w:rPr>
          <w:rFonts w:hint="eastAsia"/>
        </w:rPr>
        <w:t>6.参与完成自然灾害灾情调查、核查3项以上，并形成调查报告。</w:t>
      </w:r>
    </w:p>
    <w:p>
      <w:pPr>
        <w:rPr>
          <w:rFonts w:hint="eastAsia"/>
        </w:rPr>
      </w:pPr>
      <w:r>
        <w:rPr>
          <w:rFonts w:hint="eastAsia"/>
        </w:rPr>
        <w:t>7.参与3次以上自然灾害综合监测预警工作，并形成相应的综合分析报告。</w:t>
      </w:r>
    </w:p>
    <w:p>
      <w:pPr>
        <w:rPr>
          <w:rFonts w:hint="eastAsia"/>
        </w:rPr>
      </w:pPr>
      <w:r>
        <w:rPr>
          <w:rFonts w:hint="eastAsia"/>
        </w:rPr>
        <w:t>8.参与开展综合减灾示范社区创建工作，并参与省级以上减灾示范社区的运行。</w:t>
      </w:r>
    </w:p>
    <w:p>
      <w:pPr>
        <w:rPr>
          <w:rFonts w:hint="eastAsia"/>
        </w:rPr>
      </w:pPr>
      <w:r>
        <w:rPr>
          <w:rFonts w:hint="eastAsia"/>
        </w:rPr>
        <w:t>9.为主完成乡镇级以上避灾安置场所或应急物资储备评估、规划、建设工作4项以上，并持续做好管理工作。</w:t>
      </w:r>
    </w:p>
    <w:p>
      <w:pPr>
        <w:rPr>
          <w:rFonts w:hint="eastAsia"/>
        </w:rPr>
      </w:pPr>
      <w:r>
        <w:rPr>
          <w:rFonts w:hint="eastAsia"/>
        </w:rPr>
        <w:t>10.参与开发或推广防灾减灾新技术、新方法等项目1项以上，成效显著。</w:t>
      </w:r>
    </w:p>
    <w:p>
      <w:pPr>
        <w:rPr>
          <w:rFonts w:hint="eastAsia"/>
        </w:rPr>
      </w:pPr>
      <w:r>
        <w:rPr>
          <w:rFonts w:hint="eastAsia"/>
        </w:rPr>
        <w:t>11.获得防灾减灾领域相关专利或软件著作权1项以上。</w:t>
      </w:r>
    </w:p>
    <w:p>
      <w:pPr>
        <w:rPr>
          <w:rFonts w:hint="eastAsia"/>
          <w:b/>
          <w:bCs/>
        </w:rPr>
      </w:pPr>
      <w:r>
        <w:rPr>
          <w:rFonts w:hint="eastAsia"/>
          <w:b/>
          <w:bCs/>
        </w:rPr>
        <w:t>（四）论文、著作条件</w:t>
      </w:r>
    </w:p>
    <w:p>
      <w:pPr>
        <w:rPr>
          <w:rFonts w:hint="eastAsia"/>
        </w:rPr>
      </w:pPr>
      <w:r>
        <w:rPr>
          <w:rFonts w:hint="eastAsia"/>
        </w:rPr>
        <w:t>在全国公开发行的专业期刊或省、部级以上专业性学术会议上发表过论文，或出版过有一定学术水平的专著或译著。</w:t>
      </w:r>
    </w:p>
    <w:p>
      <w:pPr>
        <w:pStyle w:val="20"/>
        <w:bidi w:val="0"/>
        <w:rPr>
          <w:rFonts w:hint="eastAsia"/>
        </w:rPr>
      </w:pPr>
      <w:r>
        <w:rPr>
          <w:rFonts w:hint="eastAsia"/>
        </w:rPr>
        <w:t>第四章 附  则</w:t>
      </w:r>
    </w:p>
    <w:p>
      <w:pPr>
        <w:rPr>
          <w:rFonts w:hint="eastAsia"/>
        </w:rPr>
      </w:pPr>
      <w:r>
        <w:rPr>
          <w:rStyle w:val="22"/>
          <w:rFonts w:hint="eastAsia"/>
        </w:rPr>
        <w:t>第十条</w:t>
      </w:r>
      <w:r>
        <w:rPr>
          <w:rFonts w:hint="eastAsia"/>
        </w:rPr>
        <w:t xml:space="preserve">  本评价条件中涉及的工作能力、工作业绩（含标志性业绩成果）、科研成果、发明专利、继续教育证明、论文论著等均与防灾减灾领域相关且为任现职或近5年以来取得，并需提供相应的佐证材料。</w:t>
      </w:r>
    </w:p>
    <w:p>
      <w:pPr>
        <w:rPr>
          <w:rFonts w:hint="eastAsia"/>
        </w:rPr>
      </w:pPr>
      <w:r>
        <w:rPr>
          <w:rStyle w:val="22"/>
          <w:rFonts w:hint="eastAsia"/>
        </w:rPr>
        <w:t xml:space="preserve">第十一条 </w:t>
      </w:r>
      <w:r>
        <w:rPr>
          <w:rFonts w:hint="eastAsia"/>
        </w:rPr>
        <w:t xml:space="preserve"> 工程师评审主要采取定性方式。市应急管理领域中级专业技术资格评审委员会制定量化赋分标准，量化赋分标准和规定分值根据行业发展情况适时调整。</w:t>
      </w:r>
    </w:p>
    <w:p>
      <w:pPr>
        <w:rPr>
          <w:rFonts w:hint="eastAsia"/>
        </w:rPr>
      </w:pPr>
      <w:r>
        <w:rPr>
          <w:rStyle w:val="22"/>
          <w:rFonts w:hint="eastAsia"/>
        </w:rPr>
        <w:t>第十二条</w:t>
      </w:r>
      <w:r>
        <w:rPr>
          <w:rFonts w:hint="eastAsia"/>
        </w:rPr>
        <w:t xml:space="preserve">  申报人员有下列情形之一的，取消其评审资格，已通过评审的人员，取消其职务任职资格，由发证机关收回其任职资格证书，并从次年起3年内不得申报相应职务任职资格评审：</w:t>
      </w:r>
    </w:p>
    <w:p>
      <w:pPr>
        <w:rPr>
          <w:rFonts w:hint="eastAsia"/>
        </w:rPr>
      </w:pPr>
      <w:r>
        <w:rPr>
          <w:rFonts w:hint="eastAsia"/>
        </w:rPr>
        <w:t>（一）伪造、变造证件、证明等申报材料的。</w:t>
      </w:r>
    </w:p>
    <w:p>
      <w:pPr>
        <w:rPr>
          <w:rFonts w:hint="eastAsia"/>
        </w:rPr>
      </w:pPr>
      <w:r>
        <w:rPr>
          <w:rFonts w:hint="eastAsia"/>
        </w:rPr>
        <w:t>（二）有违纪违法行为仍在处理、处分、处罚阶段或任现职后有严重违纪违法行为，在申报材料中未反映的。</w:t>
      </w:r>
    </w:p>
    <w:p>
      <w:pPr>
        <w:rPr>
          <w:rFonts w:hint="eastAsia"/>
        </w:rPr>
      </w:pPr>
      <w:r>
        <w:rPr>
          <w:rFonts w:hint="eastAsia"/>
        </w:rPr>
        <w:t>（三）有其他弄虚作假、营私舞弊行为的。</w:t>
      </w:r>
    </w:p>
    <w:p>
      <w:pPr>
        <w:rPr>
          <w:rFonts w:hint="eastAsia"/>
        </w:rPr>
      </w:pPr>
      <w:r>
        <w:rPr>
          <w:rStyle w:val="22"/>
          <w:rFonts w:hint="eastAsia"/>
        </w:rPr>
        <w:t>第十三条</w:t>
      </w:r>
      <w:r>
        <w:rPr>
          <w:rFonts w:hint="eastAsia"/>
        </w:rPr>
        <w:t xml:space="preserve">  本评价条件中有关词语或概念的特定解释。</w:t>
      </w:r>
    </w:p>
    <w:p>
      <w:pPr>
        <w:rPr>
          <w:rFonts w:hint="eastAsia"/>
        </w:rPr>
      </w:pPr>
      <w:r>
        <w:rPr>
          <w:rFonts w:hint="eastAsia"/>
        </w:rPr>
        <w:t>（一）获奖人员是指国家有关机构规定的获奖项目、课题各等级内额定获奖人员（有个人获奖证书或文件）。</w:t>
      </w:r>
    </w:p>
    <w:p>
      <w:pPr>
        <w:rPr>
          <w:rFonts w:hint="eastAsia"/>
        </w:rPr>
      </w:pPr>
      <w:r>
        <w:rPr>
          <w:rFonts w:hint="eastAsia"/>
        </w:rPr>
        <w:t>（二）“为主”是指项目（包括国家级科技项目子课题）排名前三的完成者（以项目计划任务书或有关文件为准）。</w:t>
      </w:r>
    </w:p>
    <w:p>
      <w:pPr>
        <w:rPr>
          <w:rFonts w:hint="eastAsia"/>
        </w:rPr>
      </w:pPr>
      <w:r>
        <w:rPr>
          <w:rFonts w:hint="eastAsia"/>
        </w:rPr>
        <w:t>（三）省、部级以上期刊是指省、部级以上专业学会（协会）或省、部级以上业务部门主办的公开发行的有正式刊号的刊物。核心期刊是指属于中文核心期刊、中国科技核心期刊、CSCD期刊和中国核心期刊遴选数据库体系内的期刊。</w:t>
      </w:r>
    </w:p>
    <w:p>
      <w:pPr>
        <w:rPr>
          <w:rFonts w:hint="eastAsia"/>
        </w:rPr>
      </w:pPr>
      <w:r>
        <w:rPr>
          <w:rFonts w:hint="eastAsia"/>
        </w:rPr>
        <w:t>（四）标志性业绩成果中的获奖专利是指发明专利。</w:t>
      </w:r>
    </w:p>
    <w:p>
      <w:pPr>
        <w:rPr>
          <w:rFonts w:hint="eastAsia"/>
        </w:rPr>
      </w:pPr>
      <w:r>
        <w:rPr>
          <w:rFonts w:hint="eastAsia"/>
        </w:rPr>
        <w:t>（五）佐证材料是指能提供本人在所完成的业绩成果中地位、作用的书面证明材料。</w:t>
      </w:r>
    </w:p>
    <w:p>
      <w:pPr>
        <w:rPr>
          <w:rFonts w:hint="eastAsia"/>
        </w:rPr>
      </w:pPr>
      <w:r>
        <w:rPr>
          <w:rFonts w:hint="eastAsia"/>
        </w:rPr>
        <w:t>（六）编著是指撰写内容字数达到3万字以上。</w:t>
      </w:r>
    </w:p>
    <w:p>
      <w:pPr>
        <w:rPr>
          <w:rFonts w:hint="eastAsia"/>
        </w:rPr>
      </w:pPr>
      <w:r>
        <w:rPr>
          <w:rFonts w:hint="eastAsia"/>
        </w:rPr>
        <w:t>（七）“以上”均含本级或本数。</w:t>
      </w:r>
    </w:p>
    <w:p>
      <w:pPr>
        <w:rPr>
          <w:rFonts w:hint="eastAsia"/>
        </w:rPr>
      </w:pPr>
      <w:r>
        <w:rPr>
          <w:rFonts w:hint="eastAsia"/>
        </w:rPr>
        <w:t>（八）“年”均为周年。</w:t>
      </w:r>
    </w:p>
    <w:p>
      <w:pPr>
        <w:rPr>
          <w:rFonts w:hint="eastAsia"/>
        </w:rPr>
      </w:pPr>
      <w:r>
        <w:rPr>
          <w:rStyle w:val="22"/>
          <w:rFonts w:hint="eastAsia"/>
        </w:rPr>
        <w:t xml:space="preserve">第十四条 </w:t>
      </w:r>
      <w:r>
        <w:rPr>
          <w:rFonts w:hint="eastAsia"/>
        </w:rPr>
        <w:t xml:space="preserve"> 本评价条件由市应急管理局、市人力社保局按职责分工负责解释。</w:t>
      </w:r>
    </w:p>
    <w:p>
      <w:pPr>
        <w:rPr>
          <w:rFonts w:hint="eastAsia"/>
        </w:rPr>
      </w:pPr>
      <w:r>
        <w:rPr>
          <w:rStyle w:val="22"/>
          <w:rFonts w:hint="eastAsia"/>
        </w:rPr>
        <w:t xml:space="preserve">第十五条 </w:t>
      </w:r>
      <w:r>
        <w:rPr>
          <w:rFonts w:hint="eastAsia"/>
        </w:rPr>
        <w:t xml:space="preserve"> 本评价条件自2022年10月8日起施行。</w:t>
      </w:r>
    </w:p>
    <w:p>
      <w:pPr>
        <w:rPr>
          <w:rFonts w:hint="eastAsia"/>
        </w:rPr>
      </w:pPr>
    </w:p>
    <w:p>
      <w:pPr>
        <w:rPr>
          <w:rFonts w:hint="eastAsia"/>
        </w:rPr>
        <w:sectPr>
          <w:pgSz w:w="11906" w:h="16838"/>
          <w:pgMar w:top="1701" w:right="1531" w:bottom="1701" w:left="1531" w:header="851" w:footer="992" w:gutter="0"/>
          <w:pgNumType w:fmt="decimal"/>
          <w:cols w:space="0" w:num="1"/>
          <w:rtlGutter w:val="0"/>
          <w:docGrid w:type="lines" w:linePitch="312" w:charSpace="0"/>
        </w:sectPr>
      </w:pPr>
      <w:r>
        <w:rPr>
          <w:rFonts w:hint="eastAsia"/>
        </w:rPr>
        <w:t>附表：台州市防灾减灾领域工程师职务任职资格量化赋分标</w:t>
      </w:r>
    </w:p>
    <w:p>
      <w:pPr>
        <w:bidi w:val="0"/>
        <w:ind w:left="0" w:leftChars="0" w:firstLine="0" w:firstLineChars="0"/>
        <w:rPr>
          <w:rFonts w:hint="eastAsia" w:ascii="黑体" w:hAnsi="黑体" w:eastAsia="黑体" w:cs="黑体"/>
        </w:rPr>
      </w:pPr>
      <w:r>
        <w:rPr>
          <w:rFonts w:hint="eastAsia" w:ascii="黑体" w:hAnsi="黑体" w:eastAsia="黑体" w:cs="黑体"/>
        </w:rPr>
        <w:t>附表</w:t>
      </w:r>
    </w:p>
    <w:p>
      <w:pPr>
        <w:bidi w:val="0"/>
        <w:rPr>
          <w:rFonts w:hint="eastAsia" w:ascii="黑体" w:hAnsi="黑体" w:eastAsia="黑体" w:cs="黑体"/>
        </w:rPr>
      </w:pPr>
    </w:p>
    <w:p>
      <w:pPr>
        <w:pStyle w:val="5"/>
        <w:bidi w:val="0"/>
        <w:rPr>
          <w:rFonts w:hint="eastAsia"/>
        </w:rPr>
      </w:pPr>
      <w:r>
        <w:rPr>
          <w:rFonts w:hint="eastAsia"/>
        </w:rPr>
        <w:t>台州市防灾减灾领域工程师职务任职资格量化赋分标准</w:t>
      </w:r>
    </w:p>
    <w:tbl>
      <w:tblPr>
        <w:tblStyle w:val="24"/>
        <w:tblW w:w="135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
        <w:gridCol w:w="1119"/>
        <w:gridCol w:w="1179"/>
        <w:gridCol w:w="1794"/>
        <w:gridCol w:w="1289"/>
        <w:gridCol w:w="10"/>
        <w:gridCol w:w="2228"/>
        <w:gridCol w:w="859"/>
        <w:gridCol w:w="1399"/>
        <w:gridCol w:w="731"/>
        <w:gridCol w:w="61"/>
        <w:gridCol w:w="720"/>
        <w:gridCol w:w="148"/>
        <w:gridCol w:w="527"/>
        <w:gridCol w:w="412"/>
        <w:gridCol w:w="20"/>
        <w:gridCol w:w="363"/>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blHeader/>
        </w:trPr>
        <w:tc>
          <w:tcPr>
            <w:tcW w:w="111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lang w:val="zh-CN" w:bidi="zh-CN"/>
              </w:rPr>
            </w:pPr>
            <w:r>
              <w:rPr>
                <w:rFonts w:hint="eastAsia" w:ascii="仿宋_GB2312" w:hAnsi="仿宋_GB2312" w:eastAsia="仿宋_GB2312" w:cs="仿宋_GB2312"/>
                <w:b/>
                <w:bCs/>
                <w:snapToGrid w:val="0"/>
                <w:color w:val="000000"/>
                <w:kern w:val="0"/>
                <w:sz w:val="24"/>
                <w:szCs w:val="24"/>
                <w:lang w:val="zh-CN" w:bidi="zh-CN"/>
              </w:rPr>
              <w:t>评价指标</w:t>
            </w:r>
          </w:p>
        </w:tc>
        <w:tc>
          <w:tcPr>
            <w:tcW w:w="117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lang w:val="zh-CN" w:bidi="zh-CN"/>
              </w:rPr>
            </w:pPr>
            <w:r>
              <w:rPr>
                <w:rFonts w:hint="eastAsia" w:ascii="仿宋_GB2312" w:hAnsi="仿宋_GB2312" w:eastAsia="仿宋_GB2312" w:cs="仿宋_GB2312"/>
                <w:b/>
                <w:bCs/>
                <w:snapToGrid w:val="0"/>
                <w:color w:val="000000"/>
                <w:kern w:val="0"/>
                <w:sz w:val="24"/>
                <w:szCs w:val="24"/>
                <w:lang w:val="zh-CN" w:bidi="zh-CN"/>
              </w:rPr>
              <w:t>一级指标</w:t>
            </w: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lang w:val="zh-CN" w:bidi="zh-CN"/>
              </w:rPr>
            </w:pPr>
            <w:r>
              <w:rPr>
                <w:rFonts w:hint="eastAsia" w:ascii="仿宋_GB2312" w:hAnsi="仿宋_GB2312" w:eastAsia="仿宋_GB2312" w:cs="仿宋_GB2312"/>
                <w:b/>
                <w:bCs/>
                <w:snapToGrid w:val="0"/>
                <w:color w:val="000000"/>
                <w:kern w:val="0"/>
                <w:sz w:val="24"/>
                <w:szCs w:val="24"/>
                <w:lang w:val="zh-CN" w:bidi="zh-CN"/>
              </w:rPr>
              <w:t>二级指标</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lang w:val="zh-CN" w:bidi="zh-CN"/>
              </w:rPr>
            </w:pPr>
            <w:r>
              <w:rPr>
                <w:rFonts w:hint="eastAsia" w:ascii="仿宋_GB2312" w:hAnsi="仿宋_GB2312" w:eastAsia="仿宋_GB2312" w:cs="仿宋_GB2312"/>
                <w:b/>
                <w:bCs/>
                <w:snapToGrid w:val="0"/>
                <w:color w:val="000000"/>
                <w:kern w:val="0"/>
                <w:sz w:val="24"/>
                <w:szCs w:val="24"/>
                <w:lang w:val="zh-CN" w:bidi="zh-CN"/>
              </w:rPr>
              <w:t>三级指标</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lang w:val="zh-CN" w:bidi="zh-CN"/>
              </w:rPr>
            </w:pPr>
            <w:r>
              <w:rPr>
                <w:rFonts w:hint="eastAsia" w:ascii="仿宋_GB2312" w:hAnsi="仿宋_GB2312" w:eastAsia="仿宋_GB2312" w:cs="仿宋_GB2312"/>
                <w:b/>
                <w:bCs/>
                <w:snapToGrid w:val="0"/>
                <w:color w:val="000000"/>
                <w:kern w:val="0"/>
                <w:sz w:val="24"/>
                <w:szCs w:val="24"/>
                <w:lang w:val="zh-CN" w:bidi="zh-CN"/>
              </w:rPr>
              <w:t>四级指标</w:t>
            </w: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lang w:val="zh-CN" w:bidi="zh-CN"/>
              </w:rPr>
            </w:pPr>
            <w:r>
              <w:rPr>
                <w:rFonts w:hint="eastAsia" w:ascii="仿宋_GB2312" w:hAnsi="仿宋_GB2312" w:eastAsia="仿宋_GB2312" w:cs="仿宋_GB2312"/>
                <w:b/>
                <w:bCs/>
                <w:snapToGrid w:val="0"/>
                <w:color w:val="000000"/>
                <w:kern w:val="0"/>
                <w:sz w:val="24"/>
                <w:szCs w:val="24"/>
                <w:lang w:val="zh-CN" w:bidi="zh-CN"/>
              </w:rPr>
              <w:t>最高</w:t>
            </w:r>
          </w:p>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lang w:val="zh-CN" w:bidi="zh-CN"/>
              </w:rPr>
            </w:pPr>
            <w:r>
              <w:rPr>
                <w:rFonts w:hint="eastAsia" w:ascii="仿宋_GB2312" w:hAnsi="仿宋_GB2312" w:eastAsia="仿宋_GB2312" w:cs="仿宋_GB2312"/>
                <w:b/>
                <w:bCs/>
                <w:snapToGrid w:val="0"/>
                <w:color w:val="000000"/>
                <w:kern w:val="0"/>
                <w:sz w:val="24"/>
                <w:szCs w:val="24"/>
                <w:lang w:val="zh-CN" w:bidi="zh-CN"/>
              </w:rPr>
              <w:t>分值</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lang w:val="zh-CN" w:bidi="zh-CN"/>
              </w:rPr>
            </w:pPr>
            <w:r>
              <w:rPr>
                <w:rFonts w:hint="eastAsia" w:ascii="仿宋_GB2312" w:hAnsi="仿宋_GB2312" w:eastAsia="仿宋_GB2312" w:cs="仿宋_GB2312"/>
                <w:b/>
                <w:bCs/>
                <w:snapToGrid w:val="0"/>
                <w:color w:val="000000"/>
                <w:kern w:val="0"/>
                <w:sz w:val="24"/>
                <w:szCs w:val="24"/>
                <w:lang w:val="zh-CN" w:bidi="zh-CN"/>
              </w:rPr>
              <w:t>赋分说明</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lang w:val="zh-CN" w:bidi="zh-CN"/>
              </w:rPr>
            </w:pPr>
            <w:r>
              <w:rPr>
                <w:rFonts w:hint="eastAsia" w:ascii="仿宋_GB2312" w:hAnsi="仿宋_GB2312" w:eastAsia="仿宋_GB2312" w:cs="仿宋_GB2312"/>
                <w:b/>
                <w:bCs/>
                <w:snapToGrid w:val="0"/>
                <w:color w:val="000000"/>
                <w:kern w:val="0"/>
                <w:sz w:val="24"/>
                <w:szCs w:val="24"/>
                <w:lang w:val="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482" w:hRule="atLeast"/>
        </w:trPr>
        <w:tc>
          <w:tcPr>
            <w:tcW w:w="111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bidi="zh-CN"/>
              </w:rPr>
              <w:t>职业道德</w:t>
            </w: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zh-CN" w:bidi="zh-CN"/>
              </w:rPr>
              <w:t>1</w:t>
            </w:r>
            <w:r>
              <w:rPr>
                <w:rFonts w:hint="eastAsia" w:ascii="仿宋_GB2312" w:hAnsi="仿宋_GB2312" w:eastAsia="仿宋_GB2312" w:cs="仿宋_GB2312"/>
                <w:snapToGrid w:val="0"/>
                <w:color w:val="000000"/>
                <w:kern w:val="0"/>
                <w:sz w:val="24"/>
                <w:szCs w:val="24"/>
                <w:lang w:val="en-US" w:eastAsia="zh-CN" w:bidi="zh-CN"/>
              </w:rPr>
              <w:t>0</w:t>
            </w:r>
            <w:r>
              <w:rPr>
                <w:rFonts w:hint="eastAsia" w:ascii="仿宋_GB2312" w:hAnsi="仿宋_GB2312" w:eastAsia="仿宋_GB2312" w:cs="仿宋_GB2312"/>
                <w:snapToGrid w:val="0"/>
                <w:color w:val="000000"/>
                <w:kern w:val="0"/>
                <w:sz w:val="24"/>
                <w:szCs w:val="24"/>
                <w:lang w:val="zh-CN" w:bidi="zh-CN"/>
              </w:rPr>
              <w:t>分</w:t>
            </w:r>
            <w:r>
              <w:rPr>
                <w:rFonts w:hint="eastAsia" w:ascii="仿宋_GB2312" w:hAnsi="仿宋_GB2312" w:eastAsia="仿宋_GB2312" w:cs="仿宋_GB2312"/>
                <w:snapToGrid w:val="0"/>
                <w:color w:val="000000"/>
                <w:kern w:val="0"/>
                <w:sz w:val="24"/>
                <w:szCs w:val="24"/>
                <w:lang w:val="zh-CN" w:eastAsia="zh-CN" w:bidi="zh-CN"/>
              </w:rPr>
              <w:t>）</w:t>
            </w:r>
          </w:p>
        </w:tc>
        <w:tc>
          <w:tcPr>
            <w:tcW w:w="117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bidi="zh-CN"/>
              </w:rPr>
              <w:t>爱岗敬业</w:t>
            </w: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en-US" w:eastAsia="zh-CN" w:bidi="zh-CN"/>
              </w:rPr>
              <w:t>7</w:t>
            </w:r>
            <w:r>
              <w:rPr>
                <w:rFonts w:hint="eastAsia" w:ascii="仿宋_GB2312" w:hAnsi="仿宋_GB2312" w:eastAsia="仿宋_GB2312" w:cs="仿宋_GB2312"/>
                <w:snapToGrid w:val="0"/>
                <w:color w:val="000000"/>
                <w:kern w:val="0"/>
                <w:sz w:val="24"/>
                <w:szCs w:val="24"/>
                <w:lang w:val="zh-CN" w:bidi="zh-CN"/>
              </w:rPr>
              <w:t>分</w:t>
            </w:r>
            <w:r>
              <w:rPr>
                <w:rFonts w:hint="eastAsia" w:ascii="仿宋_GB2312" w:hAnsi="仿宋_GB2312" w:eastAsia="仿宋_GB2312" w:cs="仿宋_GB2312"/>
                <w:snapToGrid w:val="0"/>
                <w:color w:val="000000"/>
                <w:kern w:val="0"/>
                <w:sz w:val="24"/>
                <w:szCs w:val="24"/>
                <w:lang w:val="zh-CN" w:eastAsia="zh-CN" w:bidi="zh-CN"/>
              </w:rPr>
              <w:t>）</w:t>
            </w: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劳模、五一劳动奖章、先进工作者、优秀共产党员、行业部门表彰等荣誉称号</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bidi="zh-CN"/>
              </w:rPr>
              <w:t>省</w:t>
            </w: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zh-CN" w:bidi="zh-CN"/>
              </w:rPr>
              <w:t>部</w:t>
            </w: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zh-CN" w:bidi="zh-CN"/>
              </w:rPr>
              <w:t>级</w:t>
            </w:r>
            <w:r>
              <w:rPr>
                <w:rFonts w:hint="eastAsia" w:ascii="仿宋_GB2312" w:hAnsi="仿宋_GB2312" w:eastAsia="仿宋_GB2312" w:cs="仿宋_GB2312"/>
                <w:snapToGrid w:val="0"/>
                <w:color w:val="000000"/>
                <w:kern w:val="0"/>
                <w:sz w:val="24"/>
                <w:szCs w:val="24"/>
                <w:lang w:val="zh-CN" w:eastAsia="zh-CN" w:bidi="zh-CN"/>
              </w:rPr>
              <w:t>及以上</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en-US" w:eastAsia="zh-CN" w:bidi="zh-CN"/>
              </w:rPr>
              <w:t>5</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en-US" w:eastAsia="zh-CN" w:bidi="zh-CN"/>
              </w:rPr>
              <w:t>5</w:t>
            </w:r>
            <w:r>
              <w:rPr>
                <w:rFonts w:hint="eastAsia" w:ascii="仿宋_GB2312" w:hAnsi="仿宋_GB2312" w:eastAsia="仿宋_GB2312" w:cs="仿宋_GB2312"/>
                <w:snapToGrid w:val="0"/>
                <w:color w:val="000000"/>
                <w:kern w:val="0"/>
                <w:sz w:val="24"/>
                <w:szCs w:val="24"/>
                <w:lang w:val="zh-CN" w:bidi="zh-CN"/>
              </w:rPr>
              <w:t>n</w:t>
            </w:r>
          </w:p>
        </w:tc>
        <w:tc>
          <w:tcPr>
            <w:tcW w:w="3630" w:type="dxa"/>
            <w:gridSpan w:val="9"/>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n为专家认定的奖项个数。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482"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市</w:t>
            </w: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zh-CN" w:bidi="zh-CN"/>
              </w:rPr>
              <w:t>厅</w:t>
            </w: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zh-CN" w:bidi="zh-CN"/>
              </w:rPr>
              <w:t>级</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3n</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482"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县（局）级</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1n</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482"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在维护国家利益、公共利益活动中受到伤害</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en-US" w:eastAsia="zh-CN" w:bidi="zh-CN"/>
              </w:rPr>
              <w:t>2</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2</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eastAsia="zh-CN" w:bidi="zh-CN"/>
              </w:rPr>
              <w:t>以</w:t>
            </w:r>
            <w:r>
              <w:rPr>
                <w:rFonts w:hint="eastAsia" w:ascii="仿宋_GB2312" w:hAnsi="仿宋_GB2312" w:eastAsia="仿宋_GB2312" w:cs="仿宋_GB2312"/>
                <w:snapToGrid w:val="0"/>
                <w:color w:val="000000"/>
                <w:kern w:val="0"/>
                <w:sz w:val="24"/>
                <w:szCs w:val="24"/>
                <w:lang w:val="zh-CN" w:bidi="zh-CN"/>
              </w:rPr>
              <w:t>工伤认定证明为准。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482"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bidi="zh-CN"/>
              </w:rPr>
              <w:t>年度考核</w:t>
            </w: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zh-CN" w:bidi="zh-CN"/>
              </w:rPr>
              <w:t>3分</w:t>
            </w:r>
            <w:r>
              <w:rPr>
                <w:rFonts w:hint="eastAsia" w:ascii="仿宋_GB2312" w:hAnsi="仿宋_GB2312" w:eastAsia="仿宋_GB2312" w:cs="仿宋_GB2312"/>
                <w:snapToGrid w:val="0"/>
                <w:color w:val="000000"/>
                <w:kern w:val="0"/>
                <w:sz w:val="24"/>
                <w:szCs w:val="24"/>
                <w:lang w:val="zh-CN" w:eastAsia="zh-CN" w:bidi="zh-CN"/>
              </w:rPr>
              <w:t>）</w:t>
            </w: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近三年年度考核为优秀等次</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3</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1n</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n为年份。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482" w:hRule="atLeast"/>
        </w:trPr>
        <w:tc>
          <w:tcPr>
            <w:tcW w:w="111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专业技术经历和水平</w:t>
            </w:r>
          </w:p>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en-US" w:eastAsia="zh-CN" w:bidi="zh-CN"/>
              </w:rPr>
              <w:t>40</w:t>
            </w:r>
            <w:r>
              <w:rPr>
                <w:rFonts w:hint="eastAsia" w:ascii="仿宋_GB2312" w:hAnsi="仿宋_GB2312" w:eastAsia="仿宋_GB2312" w:cs="仿宋_GB2312"/>
                <w:snapToGrid w:val="0"/>
                <w:color w:val="000000"/>
                <w:kern w:val="0"/>
                <w:sz w:val="24"/>
                <w:szCs w:val="24"/>
                <w:lang w:val="zh-CN" w:bidi="zh-CN"/>
              </w:rPr>
              <w:t>分</w:t>
            </w:r>
            <w:r>
              <w:rPr>
                <w:rFonts w:hint="eastAsia" w:ascii="仿宋_GB2312" w:hAnsi="仿宋_GB2312" w:eastAsia="仿宋_GB2312" w:cs="仿宋_GB2312"/>
                <w:snapToGrid w:val="0"/>
                <w:color w:val="000000"/>
                <w:kern w:val="0"/>
                <w:sz w:val="24"/>
                <w:szCs w:val="24"/>
                <w:lang w:val="zh-CN" w:eastAsia="zh-CN" w:bidi="zh-CN"/>
              </w:rPr>
              <w:t>）</w:t>
            </w:r>
          </w:p>
        </w:tc>
        <w:tc>
          <w:tcPr>
            <w:tcW w:w="117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专业学习经历</w:t>
            </w:r>
          </w:p>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en-US" w:eastAsia="zh-CN" w:bidi="zh-CN"/>
              </w:rPr>
              <w:t>7</w:t>
            </w:r>
            <w:r>
              <w:rPr>
                <w:rFonts w:hint="eastAsia" w:ascii="仿宋_GB2312" w:hAnsi="仿宋_GB2312" w:eastAsia="仿宋_GB2312" w:cs="仿宋_GB2312"/>
                <w:snapToGrid w:val="0"/>
                <w:color w:val="000000"/>
                <w:kern w:val="0"/>
                <w:sz w:val="24"/>
                <w:szCs w:val="24"/>
                <w:lang w:val="zh-CN" w:bidi="zh-CN"/>
              </w:rPr>
              <w:t>分</w:t>
            </w:r>
            <w:r>
              <w:rPr>
                <w:rFonts w:hint="eastAsia" w:ascii="仿宋_GB2312" w:hAnsi="仿宋_GB2312" w:eastAsia="仿宋_GB2312" w:cs="仿宋_GB2312"/>
                <w:snapToGrid w:val="0"/>
                <w:color w:val="000000"/>
                <w:kern w:val="0"/>
                <w:sz w:val="24"/>
                <w:szCs w:val="24"/>
                <w:lang w:val="zh-CN" w:eastAsia="zh-CN" w:bidi="zh-CN"/>
              </w:rPr>
              <w:t>）</w:t>
            </w: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bidi="zh-CN"/>
              </w:rPr>
              <w:t>硕士研究生</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本专业</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en-US" w:eastAsia="zh-CN" w:bidi="zh-CN"/>
              </w:rPr>
              <w:t>7</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en-US" w:eastAsia="zh-CN" w:bidi="zh-CN"/>
              </w:rPr>
              <w:t>7</w:t>
            </w:r>
          </w:p>
        </w:tc>
        <w:tc>
          <w:tcPr>
            <w:tcW w:w="3630" w:type="dxa"/>
            <w:gridSpan w:val="9"/>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取得的学历、学位按最高项计分;双学士、工程硕士学位以教育部门认定为准。本专业是指防灾减灾科学与工程专业及地球物理学、地质学、水利工程、土木工程、测绘科学与技术、地质资源与地质工程等一级学科下设置的防灾减灾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482"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非本专业</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6</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482"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双学士或</w:t>
            </w:r>
          </w:p>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工程硕士</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本专业</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6</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482"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非本专业</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4</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482"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本科</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本专业</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4</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482"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非本专业</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3</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454"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专科</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本专业</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3</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454"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非本专业</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2</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454" w:hRule="atLeast"/>
        </w:trPr>
        <w:tc>
          <w:tcPr>
            <w:tcW w:w="111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专业技术经历和水平</w:t>
            </w:r>
          </w:p>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en-US" w:eastAsia="zh-CN" w:bidi="zh-CN"/>
              </w:rPr>
              <w:t>40</w:t>
            </w:r>
            <w:r>
              <w:rPr>
                <w:rFonts w:hint="eastAsia" w:ascii="仿宋_GB2312" w:hAnsi="仿宋_GB2312" w:eastAsia="仿宋_GB2312" w:cs="仿宋_GB2312"/>
                <w:snapToGrid w:val="0"/>
                <w:color w:val="000000"/>
                <w:kern w:val="0"/>
                <w:sz w:val="24"/>
                <w:szCs w:val="24"/>
                <w:lang w:val="zh-CN" w:bidi="zh-CN"/>
              </w:rPr>
              <w:t>分</w:t>
            </w:r>
            <w:r>
              <w:rPr>
                <w:rFonts w:hint="eastAsia" w:ascii="仿宋_GB2312" w:hAnsi="仿宋_GB2312" w:eastAsia="仿宋_GB2312" w:cs="仿宋_GB2312"/>
                <w:snapToGrid w:val="0"/>
                <w:color w:val="000000"/>
                <w:kern w:val="0"/>
                <w:sz w:val="24"/>
                <w:szCs w:val="24"/>
                <w:lang w:val="zh-CN" w:eastAsia="zh-CN" w:bidi="zh-CN"/>
              </w:rPr>
              <w:t>）</w:t>
            </w:r>
          </w:p>
        </w:tc>
        <w:tc>
          <w:tcPr>
            <w:tcW w:w="117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专业</w:t>
            </w:r>
          </w:p>
          <w:p>
            <w:pPr>
              <w:keepNext w:val="0"/>
              <w:keepLines w:val="0"/>
              <w:pageBreakBefore w:val="0"/>
              <w:widowControl/>
              <w:kinsoku w:val="0"/>
              <w:wordWrap/>
              <w:overflowPunct/>
              <w:topLinePunct w:val="0"/>
              <w:autoSpaceDE w:val="0"/>
              <w:autoSpaceDN w:val="0"/>
              <w:bidi w:val="0"/>
              <w:adjustRightInd w:val="0"/>
              <w:snapToGrid w:val="0"/>
              <w:spacing w:before="0" w:after="0"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工作经历</w:t>
            </w:r>
          </w:p>
          <w:p>
            <w:pPr>
              <w:keepNext w:val="0"/>
              <w:keepLines w:val="0"/>
              <w:pageBreakBefore w:val="0"/>
              <w:widowControl/>
              <w:kinsoku w:val="0"/>
              <w:wordWrap/>
              <w:overflowPunct/>
              <w:topLinePunct w:val="0"/>
              <w:autoSpaceDE w:val="0"/>
              <w:autoSpaceDN w:val="0"/>
              <w:bidi w:val="0"/>
              <w:adjustRightInd w:val="0"/>
              <w:snapToGrid w:val="0"/>
              <w:spacing w:before="0" w:after="0"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zh-CN" w:bidi="zh-CN"/>
              </w:rPr>
              <w:t>10分</w:t>
            </w:r>
            <w:r>
              <w:rPr>
                <w:rFonts w:hint="eastAsia" w:ascii="仿宋_GB2312" w:hAnsi="仿宋_GB2312" w:eastAsia="仿宋_GB2312" w:cs="仿宋_GB2312"/>
                <w:snapToGrid w:val="0"/>
                <w:color w:val="000000"/>
                <w:kern w:val="0"/>
                <w:sz w:val="24"/>
                <w:szCs w:val="24"/>
                <w:lang w:val="zh-CN" w:eastAsia="zh-CN" w:bidi="zh-CN"/>
              </w:rPr>
              <w:t>）</w:t>
            </w: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从事防灾减灾专业工作年限</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10</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n</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n为年份。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454"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bidi="zh-CN"/>
              </w:rPr>
              <w:t>外语和计算机能力（2分）</w:t>
            </w: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取得职称外语类别C级及以上证书</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0.5</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0.5</w:t>
            </w:r>
          </w:p>
        </w:tc>
        <w:tc>
          <w:tcPr>
            <w:tcW w:w="3630" w:type="dxa"/>
            <w:gridSpan w:val="9"/>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454"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取得《全国专业技术人员计算机应用能力考试合格证》</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1.5</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1.5</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454"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知识</w:t>
            </w:r>
          </w:p>
          <w:p>
            <w:pPr>
              <w:keepNext w:val="0"/>
              <w:keepLines w:val="0"/>
              <w:pageBreakBefore w:val="0"/>
              <w:widowControl/>
              <w:kinsoku w:val="0"/>
              <w:wordWrap/>
              <w:overflowPunct/>
              <w:topLinePunct w:val="0"/>
              <w:autoSpaceDE w:val="0"/>
              <w:autoSpaceDN w:val="0"/>
              <w:bidi w:val="0"/>
              <w:adjustRightInd w:val="0"/>
              <w:snapToGrid w:val="0"/>
              <w:spacing w:before="0" w:after="0"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更新情况</w:t>
            </w:r>
          </w:p>
          <w:p>
            <w:pPr>
              <w:keepNext w:val="0"/>
              <w:keepLines w:val="0"/>
              <w:pageBreakBefore w:val="0"/>
              <w:widowControl/>
              <w:kinsoku w:val="0"/>
              <w:wordWrap/>
              <w:overflowPunct/>
              <w:topLinePunct w:val="0"/>
              <w:autoSpaceDE w:val="0"/>
              <w:autoSpaceDN w:val="0"/>
              <w:bidi w:val="0"/>
              <w:adjustRightInd w:val="0"/>
              <w:snapToGrid w:val="0"/>
              <w:spacing w:before="0" w:after="0"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（8分）</w:t>
            </w: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bidi="zh-CN"/>
              </w:rPr>
              <w:t>继续教育</w:t>
            </w:r>
          </w:p>
        </w:tc>
        <w:tc>
          <w:tcPr>
            <w:tcW w:w="12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学时登记</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90学时以上</w:t>
            </w:r>
          </w:p>
        </w:tc>
        <w:tc>
          <w:tcPr>
            <w:tcW w:w="85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8</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8</w:t>
            </w:r>
          </w:p>
        </w:tc>
        <w:tc>
          <w:tcPr>
            <w:tcW w:w="3630" w:type="dxa"/>
            <w:gridSpan w:val="9"/>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近3年继续教育年均学时，单位内部培训学时最高折算为20学时。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454"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60-90学时</w:t>
            </w: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6</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454"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40-60学时</w:t>
            </w: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4</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454"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27-40学时</w:t>
            </w: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2</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454"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资格证书（3分）</w:t>
            </w: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eastAsia="zh-CN" w:bidi="zh-CN"/>
              </w:rPr>
              <w:t>助理工程师</w:t>
            </w:r>
            <w:r>
              <w:rPr>
                <w:rFonts w:hint="eastAsia" w:ascii="仿宋_GB2312" w:hAnsi="仿宋_GB2312" w:eastAsia="仿宋_GB2312" w:cs="仿宋_GB2312"/>
                <w:snapToGrid w:val="0"/>
                <w:color w:val="000000"/>
                <w:kern w:val="0"/>
                <w:sz w:val="24"/>
                <w:szCs w:val="24"/>
                <w:lang w:val="zh-CN" w:bidi="zh-CN"/>
              </w:rPr>
              <w:t>资格证书</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3</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3</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应在申报单位注册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454"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行业</w:t>
            </w:r>
          </w:p>
          <w:p>
            <w:pPr>
              <w:keepNext w:val="0"/>
              <w:keepLines w:val="0"/>
              <w:pageBreakBefore w:val="0"/>
              <w:widowControl/>
              <w:kinsoku w:val="0"/>
              <w:wordWrap/>
              <w:overflowPunct/>
              <w:topLinePunct w:val="0"/>
              <w:autoSpaceDE w:val="0"/>
              <w:autoSpaceDN w:val="0"/>
              <w:bidi w:val="0"/>
              <w:adjustRightInd w:val="0"/>
              <w:snapToGrid w:val="0"/>
              <w:spacing w:before="0" w:after="0"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影响力</w:t>
            </w:r>
          </w:p>
          <w:p>
            <w:pPr>
              <w:keepNext w:val="0"/>
              <w:keepLines w:val="0"/>
              <w:pageBreakBefore w:val="0"/>
              <w:widowControl/>
              <w:kinsoku w:val="0"/>
              <w:wordWrap/>
              <w:overflowPunct/>
              <w:topLinePunct w:val="0"/>
              <w:autoSpaceDE w:val="0"/>
              <w:autoSpaceDN w:val="0"/>
              <w:bidi w:val="0"/>
              <w:adjustRightInd w:val="0"/>
              <w:snapToGrid w:val="0"/>
              <w:spacing w:before="0" w:after="0"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zh-CN" w:bidi="zh-CN"/>
              </w:rPr>
              <w:t>1</w:t>
            </w:r>
            <w:r>
              <w:rPr>
                <w:rFonts w:hint="eastAsia" w:ascii="仿宋_GB2312" w:hAnsi="仿宋_GB2312" w:eastAsia="仿宋_GB2312" w:cs="仿宋_GB2312"/>
                <w:snapToGrid w:val="0"/>
                <w:color w:val="000000"/>
                <w:kern w:val="0"/>
                <w:sz w:val="24"/>
                <w:szCs w:val="24"/>
                <w:lang w:val="en-US" w:eastAsia="zh-CN" w:bidi="zh-CN"/>
              </w:rPr>
              <w:t>0</w:t>
            </w:r>
            <w:r>
              <w:rPr>
                <w:rFonts w:hint="eastAsia" w:ascii="仿宋_GB2312" w:hAnsi="仿宋_GB2312" w:eastAsia="仿宋_GB2312" w:cs="仿宋_GB2312"/>
                <w:snapToGrid w:val="0"/>
                <w:color w:val="000000"/>
                <w:kern w:val="0"/>
                <w:sz w:val="24"/>
                <w:szCs w:val="24"/>
                <w:lang w:val="zh-CN" w:bidi="zh-CN"/>
              </w:rPr>
              <w:t>分</w:t>
            </w:r>
            <w:r>
              <w:rPr>
                <w:rFonts w:hint="eastAsia" w:ascii="仿宋_GB2312" w:hAnsi="仿宋_GB2312" w:eastAsia="仿宋_GB2312" w:cs="仿宋_GB2312"/>
                <w:snapToGrid w:val="0"/>
                <w:color w:val="000000"/>
                <w:kern w:val="0"/>
                <w:sz w:val="24"/>
                <w:szCs w:val="24"/>
                <w:lang w:val="zh-CN" w:eastAsia="zh-CN" w:bidi="zh-CN"/>
              </w:rPr>
              <w:t>）</w:t>
            </w: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应急管理专家库成员</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bidi="zh-CN"/>
              </w:rPr>
              <w:t>省级</w:t>
            </w:r>
            <w:r>
              <w:rPr>
                <w:rFonts w:hint="eastAsia" w:ascii="仿宋_GB2312" w:hAnsi="仿宋_GB2312" w:eastAsia="仿宋_GB2312" w:cs="仿宋_GB2312"/>
                <w:snapToGrid w:val="0"/>
                <w:color w:val="000000"/>
                <w:kern w:val="0"/>
                <w:sz w:val="24"/>
                <w:szCs w:val="24"/>
                <w:lang w:val="zh-CN" w:eastAsia="zh-CN" w:bidi="zh-CN"/>
              </w:rPr>
              <w:t>及</w:t>
            </w:r>
          </w:p>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eastAsia="zh-CN" w:bidi="zh-CN"/>
              </w:rPr>
              <w:t>以上</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5</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5n</w:t>
            </w:r>
          </w:p>
        </w:tc>
        <w:tc>
          <w:tcPr>
            <w:tcW w:w="3630" w:type="dxa"/>
            <w:gridSpan w:val="9"/>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按最高层级计一次，同一层次可累计，n为数量。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454"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市级</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4n</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454"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县级</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2n</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参加社会团体</w:t>
            </w:r>
          </w:p>
        </w:tc>
        <w:tc>
          <w:tcPr>
            <w:tcW w:w="12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bidi="zh-CN"/>
              </w:rPr>
              <w:t>省级</w:t>
            </w:r>
            <w:r>
              <w:rPr>
                <w:rFonts w:hint="eastAsia" w:ascii="仿宋_GB2312" w:hAnsi="仿宋_GB2312" w:eastAsia="仿宋_GB2312" w:cs="仿宋_GB2312"/>
                <w:snapToGrid w:val="0"/>
                <w:color w:val="000000"/>
                <w:kern w:val="0"/>
                <w:sz w:val="24"/>
                <w:szCs w:val="24"/>
                <w:lang w:val="zh-CN" w:eastAsia="zh-CN" w:bidi="zh-CN"/>
              </w:rPr>
              <w:t>及</w:t>
            </w:r>
          </w:p>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eastAsia="zh-CN" w:bidi="zh-CN"/>
              </w:rPr>
              <w:t>以上</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主要负责人</w:t>
            </w: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5</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5</w:t>
            </w:r>
          </w:p>
        </w:tc>
        <w:tc>
          <w:tcPr>
            <w:tcW w:w="3630" w:type="dxa"/>
            <w:gridSpan w:val="9"/>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主要是指合法登记的与防灾减灾等专业相关的具有学术性质的社会团体或社会组织，不包括纯商业性质的商会、行业协会等;2.按参与的最高层级的社会团体计一次，不累计;3.社会团体主要负责人指担任常务理事以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理事或委员</w:t>
            </w: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3</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3</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地市级</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主要负责人</w:t>
            </w: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4</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4</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理事或委员</w:t>
            </w: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2</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2</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eastAsia="zh-CN" w:bidi="zh-CN"/>
              </w:rPr>
              <w:t>区县级</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主要负责人</w:t>
            </w: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2</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2</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理事或委员</w:t>
            </w: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1</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1</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成果</w:t>
            </w:r>
          </w:p>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和业绩</w:t>
            </w:r>
          </w:p>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en-US" w:eastAsia="zh-CN" w:bidi="zh-CN"/>
              </w:rPr>
              <w:t>5</w:t>
            </w:r>
            <w:r>
              <w:rPr>
                <w:rFonts w:hint="eastAsia" w:ascii="仿宋_GB2312" w:hAnsi="仿宋_GB2312" w:eastAsia="仿宋_GB2312" w:cs="仿宋_GB2312"/>
                <w:snapToGrid w:val="0"/>
                <w:color w:val="000000"/>
                <w:kern w:val="0"/>
                <w:sz w:val="24"/>
                <w:szCs w:val="24"/>
                <w:lang w:val="zh-CN" w:bidi="zh-CN"/>
              </w:rPr>
              <w:t>0分</w:t>
            </w:r>
            <w:r>
              <w:rPr>
                <w:rFonts w:hint="eastAsia" w:ascii="仿宋_GB2312" w:hAnsi="仿宋_GB2312" w:eastAsia="仿宋_GB2312" w:cs="仿宋_GB2312"/>
                <w:snapToGrid w:val="0"/>
                <w:color w:val="000000"/>
                <w:kern w:val="0"/>
                <w:sz w:val="24"/>
                <w:szCs w:val="24"/>
                <w:lang w:val="zh-CN" w:eastAsia="zh-CN" w:bidi="zh-CN"/>
              </w:rPr>
              <w:t>）</w:t>
            </w:r>
          </w:p>
        </w:tc>
        <w:tc>
          <w:tcPr>
            <w:tcW w:w="117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bidi="zh-CN"/>
              </w:rPr>
              <w:t>岗位业绩</w:t>
            </w: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en-US" w:eastAsia="zh-CN" w:bidi="zh-CN"/>
              </w:rPr>
              <w:t>26</w:t>
            </w:r>
            <w:r>
              <w:rPr>
                <w:rFonts w:hint="eastAsia" w:ascii="仿宋_GB2312" w:hAnsi="仿宋_GB2312" w:eastAsia="仿宋_GB2312" w:cs="仿宋_GB2312"/>
                <w:snapToGrid w:val="0"/>
                <w:color w:val="000000"/>
                <w:kern w:val="0"/>
                <w:sz w:val="24"/>
                <w:szCs w:val="24"/>
                <w:lang w:val="zh-CN" w:bidi="zh-CN"/>
              </w:rPr>
              <w:t>分，评分时选取1项四级指标进行打分，选定后其他四级指标空项</w:t>
            </w:r>
            <w:r>
              <w:rPr>
                <w:rFonts w:hint="eastAsia" w:ascii="仿宋_GB2312" w:hAnsi="仿宋_GB2312" w:eastAsia="仿宋_GB2312" w:cs="仿宋_GB2312"/>
                <w:snapToGrid w:val="0"/>
                <w:color w:val="000000"/>
                <w:kern w:val="0"/>
                <w:sz w:val="24"/>
                <w:szCs w:val="24"/>
                <w:lang w:val="zh-CN" w:eastAsia="zh-CN" w:bidi="zh-CN"/>
              </w:rPr>
              <w:t>）</w:t>
            </w: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自然灾害风险评估与区划</w:t>
            </w:r>
          </w:p>
        </w:tc>
        <w:tc>
          <w:tcPr>
            <w:tcW w:w="1299" w:type="dxa"/>
            <w:gridSpan w:val="2"/>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完成自然灾害风险评估与区划工作，提出有效的风险防治措施。</w:t>
            </w:r>
          </w:p>
        </w:tc>
        <w:tc>
          <w:tcPr>
            <w:tcW w:w="2228"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eastAsia="zh-CN" w:bidi="zh-CN"/>
              </w:rPr>
              <w:t>参与</w:t>
            </w:r>
            <w:r>
              <w:rPr>
                <w:rFonts w:hint="eastAsia" w:ascii="仿宋_GB2312" w:hAnsi="仿宋_GB2312" w:eastAsia="仿宋_GB2312" w:cs="仿宋_GB2312"/>
                <w:snapToGrid w:val="0"/>
                <w:color w:val="000000"/>
                <w:kern w:val="0"/>
                <w:sz w:val="24"/>
                <w:szCs w:val="24"/>
                <w:lang w:val="zh-CN" w:bidi="zh-CN"/>
              </w:rPr>
              <w:t>完成县级以上自然灾害风险评估报告</w:t>
            </w:r>
            <w:r>
              <w:rPr>
                <w:rFonts w:hint="eastAsia" w:ascii="仿宋_GB2312" w:hAnsi="仿宋_GB2312" w:eastAsia="仿宋_GB2312" w:cs="仿宋_GB2312"/>
                <w:snapToGrid w:val="0"/>
                <w:color w:val="000000"/>
                <w:kern w:val="0"/>
                <w:sz w:val="24"/>
                <w:szCs w:val="24"/>
                <w:lang w:val="en-US" w:eastAsia="zh-CN" w:bidi="zh-CN"/>
              </w:rPr>
              <w:t>8</w:t>
            </w:r>
            <w:r>
              <w:rPr>
                <w:rFonts w:hint="eastAsia" w:ascii="仿宋_GB2312" w:hAnsi="仿宋_GB2312" w:eastAsia="仿宋_GB2312" w:cs="仿宋_GB2312"/>
                <w:snapToGrid w:val="0"/>
                <w:color w:val="000000"/>
                <w:kern w:val="0"/>
                <w:sz w:val="24"/>
                <w:szCs w:val="24"/>
                <w:lang w:val="zh-CN" w:bidi="zh-CN"/>
              </w:rPr>
              <w:t>份以上，并选择3份作为代表业绩。</w:t>
            </w:r>
          </w:p>
        </w:tc>
        <w:tc>
          <w:tcPr>
            <w:tcW w:w="85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26</w:t>
            </w:r>
          </w:p>
        </w:tc>
        <w:tc>
          <w:tcPr>
            <w:tcW w:w="139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m+n</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基本分m最高分值为</w:t>
            </w:r>
            <w:r>
              <w:rPr>
                <w:rFonts w:hint="eastAsia" w:ascii="仿宋_GB2312" w:hAnsi="仿宋_GB2312" w:eastAsia="仿宋_GB2312" w:cs="仿宋_GB2312"/>
                <w:snapToGrid w:val="0"/>
                <w:color w:val="000000"/>
                <w:kern w:val="0"/>
                <w:sz w:val="24"/>
                <w:szCs w:val="24"/>
                <w:lang w:val="en-US" w:eastAsia="zh-CN" w:bidi="zh-CN"/>
              </w:rPr>
              <w:t>16</w:t>
            </w:r>
            <w:r>
              <w:rPr>
                <w:rFonts w:hint="eastAsia" w:ascii="仿宋_GB2312" w:hAnsi="仿宋_GB2312" w:eastAsia="仿宋_GB2312" w:cs="仿宋_GB2312"/>
                <w:snapToGrid w:val="0"/>
                <w:color w:val="000000"/>
                <w:kern w:val="0"/>
                <w:sz w:val="24"/>
                <w:szCs w:val="24"/>
                <w:lang w:val="zh-CN" w:bidi="zh-CN"/>
              </w:rPr>
              <w:t>,根据业绩贡献大小给与0-</w:t>
            </w:r>
            <w:r>
              <w:rPr>
                <w:rFonts w:hint="eastAsia" w:ascii="仿宋_GB2312" w:hAnsi="仿宋_GB2312" w:eastAsia="仿宋_GB2312" w:cs="仿宋_GB2312"/>
                <w:snapToGrid w:val="0"/>
                <w:color w:val="000000"/>
                <w:kern w:val="0"/>
                <w:sz w:val="24"/>
                <w:szCs w:val="24"/>
                <w:lang w:val="en-US" w:eastAsia="zh-CN" w:bidi="zh-CN"/>
              </w:rPr>
              <w:t>16</w:t>
            </w:r>
            <w:r>
              <w:rPr>
                <w:rFonts w:hint="eastAsia" w:ascii="仿宋_GB2312" w:hAnsi="仿宋_GB2312" w:eastAsia="仿宋_GB2312" w:cs="仿宋_GB2312"/>
                <w:snapToGrid w:val="0"/>
                <w:color w:val="000000"/>
                <w:kern w:val="0"/>
                <w:sz w:val="24"/>
                <w:szCs w:val="24"/>
                <w:lang w:val="zh-CN" w:bidi="zh-CN"/>
              </w:rPr>
              <w:t>区间分值。附加分n最高分值</w:t>
            </w:r>
            <w:r>
              <w:rPr>
                <w:rFonts w:hint="eastAsia" w:ascii="仿宋_GB2312" w:hAnsi="仿宋_GB2312" w:eastAsia="仿宋_GB2312" w:cs="仿宋_GB2312"/>
                <w:snapToGrid w:val="0"/>
                <w:color w:val="000000"/>
                <w:kern w:val="0"/>
                <w:sz w:val="24"/>
                <w:szCs w:val="24"/>
                <w:lang w:val="en-US" w:eastAsia="zh-CN" w:bidi="zh-CN"/>
              </w:rPr>
              <w:t>10</w:t>
            </w:r>
            <w:r>
              <w:rPr>
                <w:rFonts w:hint="eastAsia" w:ascii="仿宋_GB2312" w:hAnsi="仿宋_GB2312" w:eastAsia="仿宋_GB2312" w:cs="仿宋_GB2312"/>
                <w:snapToGrid w:val="0"/>
                <w:color w:val="000000"/>
                <w:kern w:val="0"/>
                <w:sz w:val="24"/>
                <w:szCs w:val="24"/>
                <w:lang w:val="zh-CN" w:bidi="zh-CN"/>
              </w:rPr>
              <w:t>分，根据3份代表业绩级别系数相加累计得出</w:t>
            </w: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zh-CN" w:bidi="zh-CN"/>
              </w:rPr>
              <w:t>为主完成按照排名以1.0、0.8、0.7的系数计分</w:t>
            </w: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9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2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73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级别</w:t>
            </w:r>
          </w:p>
        </w:tc>
        <w:tc>
          <w:tcPr>
            <w:tcW w:w="929"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省级</w:t>
            </w:r>
          </w:p>
        </w:tc>
        <w:tc>
          <w:tcPr>
            <w:tcW w:w="939"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市级</w:t>
            </w:r>
          </w:p>
        </w:tc>
        <w:tc>
          <w:tcPr>
            <w:tcW w:w="1031"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9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2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73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系数</w:t>
            </w:r>
          </w:p>
        </w:tc>
        <w:tc>
          <w:tcPr>
            <w:tcW w:w="929"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4.0</w:t>
            </w:r>
          </w:p>
        </w:tc>
        <w:tc>
          <w:tcPr>
            <w:tcW w:w="939"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3.0</w:t>
            </w:r>
          </w:p>
        </w:tc>
        <w:tc>
          <w:tcPr>
            <w:tcW w:w="1031"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113"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9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2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1"/>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9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28"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eastAsia="zh-CN" w:bidi="zh-CN"/>
              </w:rPr>
              <w:t>参与</w:t>
            </w:r>
            <w:r>
              <w:rPr>
                <w:rFonts w:hint="eastAsia" w:ascii="仿宋_GB2312" w:hAnsi="仿宋_GB2312" w:eastAsia="仿宋_GB2312" w:cs="仿宋_GB2312"/>
                <w:snapToGrid w:val="0"/>
                <w:color w:val="000000"/>
                <w:kern w:val="0"/>
                <w:sz w:val="24"/>
                <w:szCs w:val="24"/>
                <w:lang w:val="zh-CN" w:bidi="zh-CN"/>
              </w:rPr>
              <w:t>完成县级以上自然灾害综合风险评估</w:t>
            </w: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zh-CN" w:bidi="zh-CN"/>
              </w:rPr>
              <w:t>区划</w:t>
            </w: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zh-CN" w:bidi="zh-CN"/>
              </w:rPr>
              <w:t>报告</w:t>
            </w:r>
            <w:r>
              <w:rPr>
                <w:rFonts w:hint="eastAsia" w:ascii="仿宋_GB2312" w:hAnsi="仿宋_GB2312" w:eastAsia="仿宋_GB2312" w:cs="仿宋_GB2312"/>
                <w:snapToGrid w:val="0"/>
                <w:color w:val="000000"/>
                <w:kern w:val="0"/>
                <w:sz w:val="24"/>
                <w:szCs w:val="24"/>
                <w:lang w:val="en-US" w:eastAsia="zh-CN" w:bidi="zh-CN"/>
              </w:rPr>
              <w:t>4</w:t>
            </w:r>
            <w:r>
              <w:rPr>
                <w:rFonts w:hint="eastAsia" w:ascii="仿宋_GB2312" w:hAnsi="仿宋_GB2312" w:eastAsia="仿宋_GB2312" w:cs="仿宋_GB2312"/>
                <w:snapToGrid w:val="0"/>
                <w:color w:val="000000"/>
                <w:kern w:val="0"/>
                <w:sz w:val="24"/>
                <w:szCs w:val="24"/>
                <w:lang w:val="zh-CN" w:bidi="zh-CN"/>
              </w:rPr>
              <w:t>份以上，并选择2份作为代表业绩。</w:t>
            </w: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m+n</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基本分m最高分值为20,根据业绩贡献大小给与0-20区间分值。附加分n最高分值</w:t>
            </w:r>
            <w:r>
              <w:rPr>
                <w:rFonts w:hint="eastAsia" w:ascii="仿宋_GB2312" w:hAnsi="仿宋_GB2312" w:eastAsia="仿宋_GB2312" w:cs="仿宋_GB2312"/>
                <w:snapToGrid w:val="0"/>
                <w:color w:val="000000"/>
                <w:kern w:val="0"/>
                <w:sz w:val="24"/>
                <w:szCs w:val="24"/>
                <w:lang w:val="en-US" w:eastAsia="zh-CN" w:bidi="zh-CN"/>
              </w:rPr>
              <w:t>6</w:t>
            </w:r>
            <w:r>
              <w:rPr>
                <w:rFonts w:hint="eastAsia" w:ascii="仿宋_GB2312" w:hAnsi="仿宋_GB2312" w:eastAsia="仿宋_GB2312" w:cs="仿宋_GB2312"/>
                <w:snapToGrid w:val="0"/>
                <w:color w:val="000000"/>
                <w:kern w:val="0"/>
                <w:sz w:val="24"/>
                <w:szCs w:val="24"/>
                <w:lang w:val="zh-CN" w:bidi="zh-CN"/>
              </w:rPr>
              <w:t>分，根据2份代表业绩级别系数相加累计得出</w:t>
            </w: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zh-CN" w:bidi="zh-CN"/>
              </w:rPr>
              <w:t>为主完成按照排名以1.0、0.8、0.7的系数计分</w:t>
            </w: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9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2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60" w:type="dxa"/>
            <w:gridSpan w:val="4"/>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级别省级</w:t>
            </w:r>
          </w:p>
        </w:tc>
        <w:tc>
          <w:tcPr>
            <w:tcW w:w="939"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市级</w:t>
            </w:r>
          </w:p>
        </w:tc>
        <w:tc>
          <w:tcPr>
            <w:tcW w:w="1031"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9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2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60" w:type="dxa"/>
            <w:gridSpan w:val="4"/>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系数4.0</w:t>
            </w:r>
          </w:p>
        </w:tc>
        <w:tc>
          <w:tcPr>
            <w:tcW w:w="939"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3.0</w:t>
            </w:r>
          </w:p>
        </w:tc>
        <w:tc>
          <w:tcPr>
            <w:tcW w:w="1031"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113"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9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2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0" w:leftChars="0" w:right="64" w:rightChars="20" w:firstLine="0" w:firstLineChars="0"/>
              <w:jc w:val="both"/>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综合减灾示范</w:t>
            </w:r>
          </w:p>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社区创建</w:t>
            </w:r>
          </w:p>
        </w:tc>
        <w:tc>
          <w:tcPr>
            <w:tcW w:w="1299" w:type="dxa"/>
            <w:gridSpan w:val="2"/>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开展</w:t>
            </w:r>
            <w:r>
              <w:rPr>
                <w:rFonts w:hint="eastAsia" w:ascii="仿宋_GB2312" w:hAnsi="仿宋_GB2312" w:eastAsia="仿宋_GB2312" w:cs="仿宋_GB2312"/>
                <w:snapToGrid w:val="0"/>
                <w:color w:val="000000"/>
                <w:kern w:val="0"/>
                <w:sz w:val="24"/>
                <w:szCs w:val="24"/>
                <w:lang w:val="zh-CN" w:eastAsia="zh-CN" w:bidi="zh-CN"/>
              </w:rPr>
              <w:t>省级以上</w:t>
            </w:r>
            <w:r>
              <w:rPr>
                <w:rFonts w:hint="eastAsia" w:ascii="仿宋_GB2312" w:hAnsi="仿宋_GB2312" w:eastAsia="仿宋_GB2312" w:cs="仿宋_GB2312"/>
                <w:snapToGrid w:val="0"/>
                <w:color w:val="000000"/>
                <w:kern w:val="0"/>
                <w:sz w:val="24"/>
                <w:szCs w:val="24"/>
                <w:lang w:val="zh-CN" w:bidi="zh-CN"/>
              </w:rPr>
              <w:t>综合减灾示范社区的创建</w:t>
            </w:r>
          </w:p>
        </w:tc>
        <w:tc>
          <w:tcPr>
            <w:tcW w:w="22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eastAsia="zh-CN" w:bidi="zh-CN"/>
              </w:rPr>
              <w:t>参与</w:t>
            </w:r>
            <w:r>
              <w:rPr>
                <w:rFonts w:hint="eastAsia" w:ascii="仿宋_GB2312" w:hAnsi="仿宋_GB2312" w:eastAsia="仿宋_GB2312" w:cs="仿宋_GB2312"/>
                <w:snapToGrid w:val="0"/>
                <w:color w:val="000000"/>
                <w:kern w:val="0"/>
                <w:sz w:val="24"/>
                <w:szCs w:val="24"/>
                <w:lang w:val="zh-CN" w:bidi="zh-CN"/>
              </w:rPr>
              <w:t>国家级综合减灾示范社区的创建</w:t>
            </w:r>
            <w:r>
              <w:rPr>
                <w:rFonts w:hint="eastAsia" w:ascii="仿宋_GB2312" w:hAnsi="仿宋_GB2312" w:eastAsia="仿宋_GB2312" w:cs="仿宋_GB2312"/>
                <w:snapToGrid w:val="0"/>
                <w:color w:val="000000"/>
                <w:kern w:val="0"/>
                <w:sz w:val="24"/>
                <w:szCs w:val="24"/>
                <w:lang w:val="zh-CN" w:eastAsia="zh-CN" w:bidi="zh-CN"/>
              </w:rPr>
              <w:t>，并持续运行。</w:t>
            </w: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m+</w:t>
            </w:r>
            <w:r>
              <w:rPr>
                <w:rFonts w:hint="eastAsia" w:ascii="仿宋_GB2312" w:hAnsi="仿宋_GB2312" w:eastAsia="仿宋_GB2312" w:cs="仿宋_GB2312"/>
                <w:snapToGrid w:val="0"/>
                <w:color w:val="000000"/>
                <w:kern w:val="0"/>
                <w:sz w:val="24"/>
                <w:szCs w:val="24"/>
                <w:lang w:val="en-US" w:eastAsia="zh-CN" w:bidi="zh-CN"/>
              </w:rPr>
              <w:t>2</w:t>
            </w:r>
            <w:r>
              <w:rPr>
                <w:rFonts w:hint="eastAsia" w:ascii="仿宋_GB2312" w:hAnsi="仿宋_GB2312" w:eastAsia="仿宋_GB2312" w:cs="仿宋_GB2312"/>
                <w:snapToGrid w:val="0"/>
                <w:color w:val="000000"/>
                <w:kern w:val="0"/>
                <w:sz w:val="24"/>
                <w:szCs w:val="24"/>
                <w:lang w:val="zh-CN" w:bidi="zh-CN"/>
              </w:rPr>
              <w:t>n</w:t>
            </w:r>
          </w:p>
        </w:tc>
        <w:tc>
          <w:tcPr>
            <w:tcW w:w="3630" w:type="dxa"/>
            <w:gridSpan w:val="9"/>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基本分m最高分值为</w:t>
            </w:r>
            <w:r>
              <w:rPr>
                <w:rFonts w:hint="eastAsia" w:ascii="仿宋_GB2312" w:hAnsi="仿宋_GB2312" w:eastAsia="仿宋_GB2312" w:cs="仿宋_GB2312"/>
                <w:snapToGrid w:val="0"/>
                <w:color w:val="000000"/>
                <w:kern w:val="0"/>
                <w:sz w:val="24"/>
                <w:szCs w:val="24"/>
                <w:lang w:val="en-US" w:eastAsia="zh-CN" w:bidi="zh-CN"/>
              </w:rPr>
              <w:t>18</w:t>
            </w:r>
            <w:r>
              <w:rPr>
                <w:rFonts w:hint="eastAsia" w:ascii="仿宋_GB2312" w:hAnsi="仿宋_GB2312" w:eastAsia="仿宋_GB2312" w:cs="仿宋_GB2312"/>
                <w:snapToGrid w:val="0"/>
                <w:color w:val="000000"/>
                <w:kern w:val="0"/>
                <w:sz w:val="24"/>
                <w:szCs w:val="24"/>
                <w:lang w:val="zh-CN" w:bidi="zh-CN"/>
              </w:rPr>
              <w:t>,根据创建和持续运行业绩贡献大小给与0-</w:t>
            </w:r>
            <w:r>
              <w:rPr>
                <w:rFonts w:hint="eastAsia" w:ascii="仿宋_GB2312" w:hAnsi="仿宋_GB2312" w:eastAsia="仿宋_GB2312" w:cs="仿宋_GB2312"/>
                <w:snapToGrid w:val="0"/>
                <w:color w:val="000000"/>
                <w:kern w:val="0"/>
                <w:sz w:val="24"/>
                <w:szCs w:val="24"/>
                <w:lang w:val="en-US" w:eastAsia="zh-CN" w:bidi="zh-CN"/>
              </w:rPr>
              <w:t>18</w:t>
            </w:r>
            <w:r>
              <w:rPr>
                <w:rFonts w:hint="eastAsia" w:ascii="仿宋_GB2312" w:hAnsi="仿宋_GB2312" w:eastAsia="仿宋_GB2312" w:cs="仿宋_GB2312"/>
                <w:snapToGrid w:val="0"/>
                <w:color w:val="000000"/>
                <w:kern w:val="0"/>
                <w:sz w:val="24"/>
                <w:szCs w:val="24"/>
                <w:lang w:val="zh-CN" w:bidi="zh-CN"/>
              </w:rPr>
              <w:t>区间分值。附加分n为创建完成后持续运行年份。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9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eastAsia="zh-CN" w:bidi="zh-CN"/>
              </w:rPr>
              <w:t>参与</w:t>
            </w:r>
            <w:r>
              <w:rPr>
                <w:rFonts w:hint="eastAsia" w:ascii="仿宋_GB2312" w:hAnsi="仿宋_GB2312" w:eastAsia="仿宋_GB2312" w:cs="仿宋_GB2312"/>
                <w:snapToGrid w:val="0"/>
                <w:color w:val="000000"/>
                <w:kern w:val="0"/>
                <w:sz w:val="24"/>
                <w:szCs w:val="24"/>
                <w:lang w:val="zh-CN" w:bidi="zh-CN"/>
              </w:rPr>
              <w:t>省级</w:t>
            </w:r>
            <w:r>
              <w:rPr>
                <w:rFonts w:hint="eastAsia" w:ascii="仿宋_GB2312" w:hAnsi="仿宋_GB2312" w:eastAsia="仿宋_GB2312" w:cs="仿宋_GB2312"/>
                <w:snapToGrid w:val="0"/>
                <w:color w:val="000000"/>
                <w:kern w:val="0"/>
                <w:sz w:val="24"/>
                <w:szCs w:val="24"/>
                <w:lang w:val="zh-CN" w:eastAsia="zh-CN" w:bidi="zh-CN"/>
              </w:rPr>
              <w:t>以上</w:t>
            </w:r>
            <w:r>
              <w:rPr>
                <w:rFonts w:hint="eastAsia" w:ascii="仿宋_GB2312" w:hAnsi="仿宋_GB2312" w:eastAsia="仿宋_GB2312" w:cs="仿宋_GB2312"/>
                <w:snapToGrid w:val="0"/>
                <w:color w:val="000000"/>
                <w:kern w:val="0"/>
                <w:sz w:val="24"/>
                <w:szCs w:val="24"/>
                <w:lang w:val="zh-CN" w:bidi="zh-CN"/>
              </w:rPr>
              <w:t>减灾示范社区的</w:t>
            </w:r>
            <w:r>
              <w:rPr>
                <w:rFonts w:hint="eastAsia" w:ascii="仿宋_GB2312" w:hAnsi="仿宋_GB2312" w:eastAsia="仿宋_GB2312" w:cs="仿宋_GB2312"/>
                <w:snapToGrid w:val="0"/>
                <w:color w:val="000000"/>
                <w:kern w:val="0"/>
                <w:sz w:val="24"/>
                <w:szCs w:val="24"/>
                <w:lang w:val="zh-CN" w:eastAsia="zh-CN" w:bidi="zh-CN"/>
              </w:rPr>
              <w:t>创建，并持续</w:t>
            </w:r>
            <w:r>
              <w:rPr>
                <w:rFonts w:hint="eastAsia" w:ascii="仿宋_GB2312" w:hAnsi="仿宋_GB2312" w:eastAsia="仿宋_GB2312" w:cs="仿宋_GB2312"/>
                <w:snapToGrid w:val="0"/>
                <w:color w:val="000000"/>
                <w:kern w:val="0"/>
                <w:sz w:val="24"/>
                <w:szCs w:val="24"/>
                <w:lang w:val="zh-CN" w:bidi="zh-CN"/>
              </w:rPr>
              <w:t>运行。</w:t>
            </w: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m+n</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岗位业绩</w:t>
            </w: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en-US" w:eastAsia="zh-CN" w:bidi="zh-CN"/>
              </w:rPr>
              <w:t>26</w:t>
            </w:r>
            <w:r>
              <w:rPr>
                <w:rFonts w:hint="eastAsia" w:ascii="仿宋_GB2312" w:hAnsi="仿宋_GB2312" w:eastAsia="仿宋_GB2312" w:cs="仿宋_GB2312"/>
                <w:snapToGrid w:val="0"/>
                <w:color w:val="000000"/>
                <w:kern w:val="0"/>
                <w:sz w:val="24"/>
                <w:szCs w:val="24"/>
                <w:lang w:val="zh-CN" w:bidi="zh-CN"/>
              </w:rPr>
              <w:t>分，评分时选取1项四级指标进行打分，选定后其他四级指标空项</w:t>
            </w:r>
            <w:r>
              <w:rPr>
                <w:rFonts w:hint="eastAsia" w:ascii="仿宋_GB2312" w:hAnsi="仿宋_GB2312" w:eastAsia="仿宋_GB2312" w:cs="仿宋_GB2312"/>
                <w:snapToGrid w:val="0"/>
                <w:color w:val="000000"/>
                <w:kern w:val="0"/>
                <w:sz w:val="24"/>
                <w:szCs w:val="24"/>
                <w:lang w:val="zh-CN" w:eastAsia="zh-CN" w:bidi="zh-CN"/>
              </w:rPr>
              <w:t>）</w:t>
            </w: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自然灾害</w:t>
            </w:r>
          </w:p>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调查评估</w:t>
            </w:r>
          </w:p>
        </w:tc>
        <w:tc>
          <w:tcPr>
            <w:tcW w:w="1299" w:type="dxa"/>
            <w:gridSpan w:val="2"/>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eastAsia="zh-CN" w:bidi="zh-CN"/>
              </w:rPr>
              <w:t>参与</w:t>
            </w:r>
            <w:r>
              <w:rPr>
                <w:rFonts w:hint="eastAsia" w:ascii="仿宋_GB2312" w:hAnsi="仿宋_GB2312" w:eastAsia="仿宋_GB2312" w:cs="仿宋_GB2312"/>
                <w:snapToGrid w:val="0"/>
                <w:color w:val="000000"/>
                <w:kern w:val="0"/>
                <w:sz w:val="24"/>
                <w:szCs w:val="24"/>
                <w:lang w:val="zh-CN" w:bidi="zh-CN"/>
              </w:rPr>
              <w:t>自然灾害调查评估报告，提出防治措施和工作建议。</w:t>
            </w:r>
          </w:p>
        </w:tc>
        <w:tc>
          <w:tcPr>
            <w:tcW w:w="2228"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eastAsia="zh-CN" w:bidi="zh-CN"/>
              </w:rPr>
              <w:t>参与</w:t>
            </w:r>
            <w:r>
              <w:rPr>
                <w:rFonts w:hint="eastAsia" w:ascii="仿宋_GB2312" w:hAnsi="仿宋_GB2312" w:eastAsia="仿宋_GB2312" w:cs="仿宋_GB2312"/>
                <w:snapToGrid w:val="0"/>
                <w:color w:val="000000"/>
                <w:kern w:val="0"/>
                <w:sz w:val="24"/>
                <w:szCs w:val="24"/>
                <w:lang w:val="zh-CN" w:bidi="zh-CN"/>
              </w:rPr>
              <w:t>完成典型性调查评估报告、总结性调查评估报告</w:t>
            </w:r>
            <w:r>
              <w:rPr>
                <w:rFonts w:hint="eastAsia" w:ascii="仿宋_GB2312" w:hAnsi="仿宋_GB2312" w:eastAsia="仿宋_GB2312" w:cs="仿宋_GB2312"/>
                <w:snapToGrid w:val="0"/>
                <w:color w:val="000000"/>
                <w:kern w:val="0"/>
                <w:sz w:val="24"/>
                <w:szCs w:val="24"/>
                <w:lang w:val="en-US" w:eastAsia="zh-CN" w:bidi="zh-CN"/>
              </w:rPr>
              <w:t>4</w:t>
            </w:r>
            <w:r>
              <w:rPr>
                <w:rFonts w:hint="eastAsia" w:ascii="仿宋_GB2312" w:hAnsi="仿宋_GB2312" w:eastAsia="仿宋_GB2312" w:cs="仿宋_GB2312"/>
                <w:snapToGrid w:val="0"/>
                <w:color w:val="000000"/>
                <w:kern w:val="0"/>
                <w:sz w:val="24"/>
                <w:szCs w:val="24"/>
                <w:lang w:val="zh-CN" w:bidi="zh-CN"/>
              </w:rPr>
              <w:t>份以上,并</w:t>
            </w:r>
            <w:r>
              <w:rPr>
                <w:rFonts w:hint="eastAsia" w:ascii="仿宋_GB2312" w:hAnsi="仿宋_GB2312" w:eastAsia="仿宋_GB2312" w:cs="仿宋_GB2312"/>
                <w:snapToGrid w:val="0"/>
                <w:color w:val="000000"/>
                <w:kern w:val="0"/>
                <w:sz w:val="24"/>
                <w:szCs w:val="24"/>
                <w:lang w:val="zh-CN" w:eastAsia="zh-CN" w:bidi="zh-CN"/>
              </w:rPr>
              <w:t>通过审核。</w:t>
            </w:r>
            <w:r>
              <w:rPr>
                <w:rFonts w:hint="eastAsia" w:ascii="仿宋_GB2312" w:hAnsi="仿宋_GB2312" w:eastAsia="仿宋_GB2312" w:cs="仿宋_GB2312"/>
                <w:snapToGrid w:val="0"/>
                <w:color w:val="000000"/>
                <w:kern w:val="0"/>
                <w:sz w:val="24"/>
                <w:szCs w:val="24"/>
                <w:lang w:val="zh-CN" w:bidi="zh-CN"/>
              </w:rPr>
              <w:t>选择2份作为代表业绩。</w:t>
            </w:r>
          </w:p>
        </w:tc>
        <w:tc>
          <w:tcPr>
            <w:tcW w:w="85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26</w:t>
            </w:r>
          </w:p>
        </w:tc>
        <w:tc>
          <w:tcPr>
            <w:tcW w:w="139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m+n</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基本分m最高分值为20,根据业绩贡献大小给与0-20区间分值。附加分n最高分值</w:t>
            </w:r>
            <w:r>
              <w:rPr>
                <w:rFonts w:hint="eastAsia" w:ascii="仿宋_GB2312" w:hAnsi="仿宋_GB2312" w:eastAsia="仿宋_GB2312" w:cs="仿宋_GB2312"/>
                <w:snapToGrid w:val="0"/>
                <w:color w:val="000000"/>
                <w:kern w:val="0"/>
                <w:sz w:val="24"/>
                <w:szCs w:val="24"/>
                <w:lang w:val="en-US" w:eastAsia="zh-CN" w:bidi="zh-CN"/>
              </w:rPr>
              <w:t>6</w:t>
            </w:r>
            <w:r>
              <w:rPr>
                <w:rFonts w:hint="eastAsia" w:ascii="仿宋_GB2312" w:hAnsi="仿宋_GB2312" w:eastAsia="仿宋_GB2312" w:cs="仿宋_GB2312"/>
                <w:snapToGrid w:val="0"/>
                <w:color w:val="000000"/>
                <w:kern w:val="0"/>
                <w:sz w:val="24"/>
                <w:szCs w:val="24"/>
                <w:lang w:val="zh-CN" w:bidi="zh-CN"/>
              </w:rPr>
              <w:t>分，根据2份代表业绩级别系数相加累计得出。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9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2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73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级别</w:t>
            </w:r>
          </w:p>
        </w:tc>
        <w:tc>
          <w:tcPr>
            <w:tcW w:w="929"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省级</w:t>
            </w:r>
          </w:p>
        </w:tc>
        <w:tc>
          <w:tcPr>
            <w:tcW w:w="959"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市级</w:t>
            </w:r>
          </w:p>
        </w:tc>
        <w:tc>
          <w:tcPr>
            <w:tcW w:w="1011"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9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2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73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系数</w:t>
            </w:r>
          </w:p>
        </w:tc>
        <w:tc>
          <w:tcPr>
            <w:tcW w:w="929"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4</w:t>
            </w:r>
          </w:p>
        </w:tc>
        <w:tc>
          <w:tcPr>
            <w:tcW w:w="959"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3</w:t>
            </w:r>
          </w:p>
        </w:tc>
        <w:tc>
          <w:tcPr>
            <w:tcW w:w="1011"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113"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9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2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避灾安置场所或应急物资储备评估、规划、建设工作</w:t>
            </w:r>
          </w:p>
        </w:tc>
        <w:tc>
          <w:tcPr>
            <w:tcW w:w="1299" w:type="dxa"/>
            <w:gridSpan w:val="2"/>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bidi="zh-CN"/>
              </w:rPr>
              <w:t>完成乡镇级以上避灾安置场所或应急物资储备评估、规划、建设工作</w:t>
            </w:r>
          </w:p>
        </w:tc>
        <w:tc>
          <w:tcPr>
            <w:tcW w:w="2228"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bidi="zh-CN"/>
              </w:rPr>
              <w:t>为主完成乡镇级以上避灾安置场所或应急物资储备评估、规划、建设工作4项以上，并持续做好管理工作</w:t>
            </w: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zh-CN" w:bidi="zh-CN"/>
              </w:rPr>
              <w:t>选择2份作为代表业绩。</w:t>
            </w:r>
          </w:p>
        </w:tc>
        <w:tc>
          <w:tcPr>
            <w:tcW w:w="85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26</w:t>
            </w:r>
          </w:p>
        </w:tc>
        <w:tc>
          <w:tcPr>
            <w:tcW w:w="139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m+n</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基本分m最高分值为20,根据业绩贡献大小给与0-20区间分值。附加分n最高分值</w:t>
            </w:r>
            <w:r>
              <w:rPr>
                <w:rFonts w:hint="eastAsia" w:ascii="仿宋_GB2312" w:hAnsi="仿宋_GB2312" w:eastAsia="仿宋_GB2312" w:cs="仿宋_GB2312"/>
                <w:snapToGrid w:val="0"/>
                <w:color w:val="000000"/>
                <w:kern w:val="0"/>
                <w:sz w:val="24"/>
                <w:szCs w:val="24"/>
                <w:lang w:val="en-US" w:eastAsia="zh-CN" w:bidi="zh-CN"/>
              </w:rPr>
              <w:t>6</w:t>
            </w:r>
            <w:r>
              <w:rPr>
                <w:rFonts w:hint="eastAsia" w:ascii="仿宋_GB2312" w:hAnsi="仿宋_GB2312" w:eastAsia="仿宋_GB2312" w:cs="仿宋_GB2312"/>
                <w:snapToGrid w:val="0"/>
                <w:color w:val="000000"/>
                <w:kern w:val="0"/>
                <w:sz w:val="24"/>
                <w:szCs w:val="24"/>
                <w:lang w:val="zh-CN" w:bidi="zh-CN"/>
              </w:rPr>
              <w:t>分，根据2份代表业绩级别系数相加累计得出。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9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2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p>
        </w:tc>
        <w:tc>
          <w:tcPr>
            <w:tcW w:w="139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792"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级别</w:t>
            </w:r>
          </w:p>
        </w:tc>
        <w:tc>
          <w:tcPr>
            <w:tcW w:w="7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省级</w:t>
            </w:r>
          </w:p>
        </w:tc>
        <w:tc>
          <w:tcPr>
            <w:tcW w:w="675"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市级</w:t>
            </w:r>
          </w:p>
        </w:tc>
        <w:tc>
          <w:tcPr>
            <w:tcW w:w="795"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县级</w:t>
            </w:r>
          </w:p>
        </w:tc>
        <w:tc>
          <w:tcPr>
            <w:tcW w:w="64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eastAsia="zh-CN" w:bidi="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9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2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p>
        </w:tc>
        <w:tc>
          <w:tcPr>
            <w:tcW w:w="139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792"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系数</w:t>
            </w:r>
          </w:p>
        </w:tc>
        <w:tc>
          <w:tcPr>
            <w:tcW w:w="7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4</w:t>
            </w:r>
          </w:p>
        </w:tc>
        <w:tc>
          <w:tcPr>
            <w:tcW w:w="675"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3</w:t>
            </w:r>
          </w:p>
        </w:tc>
        <w:tc>
          <w:tcPr>
            <w:tcW w:w="795"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2</w:t>
            </w:r>
          </w:p>
        </w:tc>
        <w:tc>
          <w:tcPr>
            <w:tcW w:w="64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113"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9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2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p>
        </w:tc>
        <w:tc>
          <w:tcPr>
            <w:tcW w:w="139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岗位业绩</w:t>
            </w:r>
          </w:p>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zh-CN" w:bidi="zh-CN"/>
              </w:rPr>
              <w:t>附加分</w:t>
            </w:r>
            <w:r>
              <w:rPr>
                <w:rFonts w:hint="eastAsia" w:ascii="仿宋_GB2312" w:hAnsi="仿宋_GB2312" w:eastAsia="仿宋_GB2312" w:cs="仿宋_GB2312"/>
                <w:snapToGrid w:val="0"/>
                <w:color w:val="000000"/>
                <w:kern w:val="0"/>
                <w:sz w:val="24"/>
                <w:szCs w:val="24"/>
                <w:lang w:val="en-US" w:eastAsia="zh-CN" w:bidi="zh-CN"/>
              </w:rPr>
              <w:t>4</w:t>
            </w:r>
            <w:r>
              <w:rPr>
                <w:rFonts w:hint="eastAsia" w:ascii="仿宋_GB2312" w:hAnsi="仿宋_GB2312" w:eastAsia="仿宋_GB2312" w:cs="仿宋_GB2312"/>
                <w:snapToGrid w:val="0"/>
                <w:color w:val="000000"/>
                <w:kern w:val="0"/>
                <w:sz w:val="24"/>
                <w:szCs w:val="24"/>
                <w:lang w:val="zh-CN" w:bidi="zh-CN"/>
              </w:rPr>
              <w:t>分，评分时选取1项二级指标进行打分，选定后其他二级指标空项</w:t>
            </w:r>
            <w:r>
              <w:rPr>
                <w:rFonts w:hint="eastAsia" w:ascii="仿宋_GB2312" w:hAnsi="仿宋_GB2312" w:eastAsia="仿宋_GB2312" w:cs="仿宋_GB2312"/>
                <w:snapToGrid w:val="0"/>
                <w:color w:val="000000"/>
                <w:kern w:val="0"/>
                <w:sz w:val="24"/>
                <w:szCs w:val="24"/>
                <w:lang w:val="zh-CN" w:eastAsia="zh-CN" w:bidi="zh-CN"/>
              </w:rPr>
              <w:t>）</w:t>
            </w: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编制自然灾害防御工作指南、案例库或防灾减灾总体规划、避灾安置场所、应急物资等专项规划</w:t>
            </w:r>
          </w:p>
        </w:tc>
        <w:tc>
          <w:tcPr>
            <w:tcW w:w="1299"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eastAsia="zh-CN" w:bidi="zh-CN"/>
              </w:rPr>
              <w:t>参与</w:t>
            </w:r>
            <w:r>
              <w:rPr>
                <w:rFonts w:hint="eastAsia" w:ascii="仿宋_GB2312" w:hAnsi="仿宋_GB2312" w:eastAsia="仿宋_GB2312" w:cs="仿宋_GB2312"/>
                <w:snapToGrid w:val="0"/>
                <w:color w:val="000000"/>
                <w:kern w:val="0"/>
                <w:sz w:val="24"/>
                <w:szCs w:val="24"/>
                <w:lang w:val="zh-CN" w:bidi="zh-CN"/>
              </w:rPr>
              <w:t>自然灾害防御工作指南、案例库或县级以上防灾减灾总体规划、避灾安置场所、应急物资等专项规划编制工作</w:t>
            </w:r>
          </w:p>
        </w:tc>
        <w:tc>
          <w:tcPr>
            <w:tcW w:w="22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eastAsia="zh-CN" w:bidi="zh-CN"/>
              </w:rPr>
              <w:t>参与</w:t>
            </w:r>
            <w:r>
              <w:rPr>
                <w:rFonts w:hint="eastAsia" w:ascii="仿宋_GB2312" w:hAnsi="仿宋_GB2312" w:eastAsia="仿宋_GB2312" w:cs="仿宋_GB2312"/>
                <w:snapToGrid w:val="0"/>
                <w:color w:val="000000"/>
                <w:kern w:val="0"/>
                <w:sz w:val="24"/>
                <w:szCs w:val="24"/>
                <w:lang w:val="zh-CN" w:bidi="zh-CN"/>
              </w:rPr>
              <w:t>完成</w:t>
            </w:r>
            <w:r>
              <w:rPr>
                <w:rFonts w:hint="eastAsia" w:ascii="仿宋_GB2312" w:hAnsi="仿宋_GB2312" w:eastAsia="仿宋_GB2312" w:cs="仿宋_GB2312"/>
                <w:snapToGrid w:val="0"/>
                <w:color w:val="000000"/>
                <w:kern w:val="0"/>
                <w:sz w:val="24"/>
                <w:szCs w:val="24"/>
                <w:lang w:val="en-US" w:eastAsia="zh-CN" w:bidi="zh-CN"/>
              </w:rPr>
              <w:t>3</w:t>
            </w:r>
            <w:r>
              <w:rPr>
                <w:rFonts w:hint="eastAsia" w:ascii="仿宋_GB2312" w:hAnsi="仿宋_GB2312" w:eastAsia="仿宋_GB2312" w:cs="仿宋_GB2312"/>
                <w:snapToGrid w:val="0"/>
                <w:color w:val="000000"/>
                <w:kern w:val="0"/>
                <w:sz w:val="24"/>
                <w:szCs w:val="24"/>
                <w:lang w:val="zh-CN" w:bidi="zh-CN"/>
              </w:rPr>
              <w:t>项以上,并</w:t>
            </w:r>
            <w:r>
              <w:rPr>
                <w:rFonts w:hint="eastAsia" w:ascii="仿宋_GB2312" w:hAnsi="仿宋_GB2312" w:eastAsia="仿宋_GB2312" w:cs="仿宋_GB2312"/>
                <w:snapToGrid w:val="0"/>
                <w:color w:val="000000"/>
                <w:kern w:val="0"/>
                <w:sz w:val="24"/>
                <w:szCs w:val="24"/>
                <w:lang w:val="zh-CN" w:eastAsia="zh-CN" w:bidi="zh-CN"/>
              </w:rPr>
              <w:t>推广应用。</w:t>
            </w:r>
            <w:r>
              <w:rPr>
                <w:rFonts w:hint="eastAsia" w:ascii="仿宋_GB2312" w:hAnsi="仿宋_GB2312" w:eastAsia="仿宋_GB2312" w:cs="仿宋_GB2312"/>
                <w:snapToGrid w:val="0"/>
                <w:color w:val="000000"/>
                <w:kern w:val="0"/>
                <w:sz w:val="24"/>
                <w:szCs w:val="24"/>
                <w:lang w:val="zh-CN" w:bidi="zh-CN"/>
              </w:rPr>
              <w:t>选择1项作为代表业绩。</w:t>
            </w:r>
          </w:p>
        </w:tc>
        <w:tc>
          <w:tcPr>
            <w:tcW w:w="85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en-US" w:eastAsia="zh-CN" w:bidi="zh-CN"/>
              </w:rPr>
              <w:t>4</w:t>
            </w:r>
          </w:p>
        </w:tc>
        <w:tc>
          <w:tcPr>
            <w:tcW w:w="139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m</w:t>
            </w:r>
          </w:p>
        </w:tc>
        <w:tc>
          <w:tcPr>
            <w:tcW w:w="3630" w:type="dxa"/>
            <w:gridSpan w:val="9"/>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m最高分值为</w:t>
            </w:r>
            <w:r>
              <w:rPr>
                <w:rFonts w:hint="eastAsia" w:ascii="仿宋_GB2312" w:hAnsi="仿宋_GB2312" w:eastAsia="仿宋_GB2312" w:cs="仿宋_GB2312"/>
                <w:snapToGrid w:val="0"/>
                <w:color w:val="000000"/>
                <w:kern w:val="0"/>
                <w:sz w:val="24"/>
                <w:szCs w:val="24"/>
                <w:lang w:val="en-US" w:eastAsia="zh-CN" w:bidi="zh-CN"/>
              </w:rPr>
              <w:t>4</w:t>
            </w:r>
            <w:r>
              <w:rPr>
                <w:rFonts w:hint="eastAsia" w:ascii="仿宋_GB2312" w:hAnsi="仿宋_GB2312" w:eastAsia="仿宋_GB2312" w:cs="仿宋_GB2312"/>
                <w:snapToGrid w:val="0"/>
                <w:color w:val="000000"/>
                <w:kern w:val="0"/>
                <w:sz w:val="24"/>
                <w:szCs w:val="24"/>
                <w:lang w:val="zh-CN" w:bidi="zh-CN"/>
              </w:rPr>
              <w:t>,根据业绩贡献大小给与0-</w:t>
            </w:r>
            <w:r>
              <w:rPr>
                <w:rFonts w:hint="eastAsia" w:ascii="仿宋_GB2312" w:hAnsi="仿宋_GB2312" w:eastAsia="仿宋_GB2312" w:cs="仿宋_GB2312"/>
                <w:snapToGrid w:val="0"/>
                <w:color w:val="000000"/>
                <w:kern w:val="0"/>
                <w:sz w:val="24"/>
                <w:szCs w:val="24"/>
                <w:lang w:val="en-US" w:eastAsia="zh-CN" w:bidi="zh-CN"/>
              </w:rPr>
              <w:t>4</w:t>
            </w:r>
            <w:r>
              <w:rPr>
                <w:rFonts w:hint="eastAsia" w:ascii="仿宋_GB2312" w:hAnsi="仿宋_GB2312" w:eastAsia="仿宋_GB2312" w:cs="仿宋_GB2312"/>
                <w:snapToGrid w:val="0"/>
                <w:color w:val="000000"/>
                <w:kern w:val="0"/>
                <w:sz w:val="24"/>
                <w:szCs w:val="24"/>
                <w:lang w:val="zh-CN" w:bidi="zh-CN"/>
              </w:rPr>
              <w:t>分区间分值。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自然灾害灾情调查、核查</w:t>
            </w:r>
          </w:p>
        </w:tc>
        <w:tc>
          <w:tcPr>
            <w:tcW w:w="1299"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eastAsia="zh-CN" w:bidi="zh-CN"/>
              </w:rPr>
              <w:t>参与</w:t>
            </w:r>
            <w:r>
              <w:rPr>
                <w:rFonts w:hint="eastAsia" w:ascii="仿宋_GB2312" w:hAnsi="仿宋_GB2312" w:eastAsia="仿宋_GB2312" w:cs="仿宋_GB2312"/>
                <w:snapToGrid w:val="0"/>
                <w:color w:val="000000"/>
                <w:kern w:val="0"/>
                <w:sz w:val="24"/>
                <w:szCs w:val="24"/>
                <w:lang w:val="zh-CN" w:bidi="zh-CN"/>
              </w:rPr>
              <w:t>自然灾害灾情调查、核查工作</w:t>
            </w:r>
          </w:p>
        </w:tc>
        <w:tc>
          <w:tcPr>
            <w:tcW w:w="22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eastAsia="zh-CN" w:bidi="zh-CN"/>
              </w:rPr>
              <w:t>参与</w:t>
            </w:r>
            <w:r>
              <w:rPr>
                <w:rFonts w:hint="eastAsia" w:ascii="仿宋_GB2312" w:hAnsi="仿宋_GB2312" w:eastAsia="仿宋_GB2312" w:cs="仿宋_GB2312"/>
                <w:snapToGrid w:val="0"/>
                <w:color w:val="000000"/>
                <w:kern w:val="0"/>
                <w:sz w:val="24"/>
                <w:szCs w:val="24"/>
                <w:lang w:val="zh-CN" w:bidi="zh-CN"/>
              </w:rPr>
              <w:t>完成自然灾害灾情调查、核查3项以上，并</w:t>
            </w:r>
            <w:r>
              <w:rPr>
                <w:rFonts w:hint="eastAsia" w:ascii="仿宋_GB2312" w:hAnsi="仿宋_GB2312" w:eastAsia="仿宋_GB2312" w:cs="仿宋_GB2312"/>
                <w:snapToGrid w:val="0"/>
                <w:color w:val="000000"/>
                <w:kern w:val="0"/>
                <w:sz w:val="24"/>
                <w:szCs w:val="24"/>
                <w:lang w:val="zh-CN" w:eastAsia="zh-CN" w:bidi="zh-CN"/>
              </w:rPr>
              <w:t>形成调查报告。</w:t>
            </w:r>
            <w:r>
              <w:rPr>
                <w:rFonts w:hint="eastAsia" w:ascii="仿宋_GB2312" w:hAnsi="仿宋_GB2312" w:eastAsia="仿宋_GB2312" w:cs="仿宋_GB2312"/>
                <w:snapToGrid w:val="0"/>
                <w:color w:val="000000"/>
                <w:kern w:val="0"/>
                <w:sz w:val="24"/>
                <w:szCs w:val="24"/>
                <w:lang w:val="zh-CN" w:bidi="zh-CN"/>
              </w:rPr>
              <w:t>选择1项作为代表业绩。</w:t>
            </w: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自然灾害综合监测预警</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完成自然灾害信息的接收、综合分析研判、报送工作</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参与</w:t>
            </w:r>
            <w:r>
              <w:rPr>
                <w:rFonts w:hint="eastAsia" w:ascii="仿宋_GB2312" w:hAnsi="仿宋_GB2312" w:eastAsia="仿宋_GB2312" w:cs="仿宋_GB2312"/>
                <w:snapToGrid w:val="0"/>
                <w:color w:val="000000"/>
                <w:kern w:val="0"/>
                <w:sz w:val="24"/>
                <w:szCs w:val="24"/>
                <w:lang w:val="en-US" w:eastAsia="zh-CN" w:bidi="zh-CN"/>
              </w:rPr>
              <w:t>3</w:t>
            </w:r>
            <w:r>
              <w:rPr>
                <w:rFonts w:hint="eastAsia" w:ascii="仿宋_GB2312" w:hAnsi="仿宋_GB2312" w:eastAsia="仿宋_GB2312" w:cs="仿宋_GB2312"/>
                <w:snapToGrid w:val="0"/>
                <w:color w:val="000000"/>
                <w:kern w:val="0"/>
                <w:sz w:val="24"/>
                <w:szCs w:val="24"/>
                <w:lang w:val="zh-CN" w:bidi="zh-CN"/>
              </w:rPr>
              <w:t>次以上自然灾害综合监测预警工作，并</w:t>
            </w:r>
            <w:r>
              <w:rPr>
                <w:rFonts w:hint="eastAsia" w:ascii="仿宋_GB2312" w:hAnsi="仿宋_GB2312" w:eastAsia="仿宋_GB2312" w:cs="仿宋_GB2312"/>
                <w:snapToGrid w:val="0"/>
                <w:color w:val="000000"/>
                <w:kern w:val="0"/>
                <w:sz w:val="24"/>
                <w:szCs w:val="24"/>
                <w:lang w:val="zh-CN" w:eastAsia="zh-CN" w:bidi="zh-CN"/>
              </w:rPr>
              <w:t>形成相应的综合分析报告。</w:t>
            </w:r>
            <w:r>
              <w:rPr>
                <w:rFonts w:hint="eastAsia" w:ascii="仿宋_GB2312" w:hAnsi="仿宋_GB2312" w:eastAsia="仿宋_GB2312" w:cs="仿宋_GB2312"/>
                <w:snapToGrid w:val="0"/>
                <w:color w:val="000000"/>
                <w:kern w:val="0"/>
                <w:sz w:val="24"/>
                <w:szCs w:val="24"/>
                <w:lang w:val="zh-CN" w:bidi="zh-CN"/>
              </w:rPr>
              <w:t>选择1份作为代表业绩。</w:t>
            </w: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bidi="zh-CN"/>
              </w:rPr>
              <w:t>科研项目</w:t>
            </w: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en-US" w:eastAsia="zh-CN" w:bidi="zh-CN"/>
              </w:rPr>
              <w:t>5</w:t>
            </w:r>
            <w:r>
              <w:rPr>
                <w:rFonts w:hint="eastAsia" w:ascii="仿宋_GB2312" w:hAnsi="仿宋_GB2312" w:eastAsia="仿宋_GB2312" w:cs="仿宋_GB2312"/>
                <w:snapToGrid w:val="0"/>
                <w:color w:val="000000"/>
                <w:kern w:val="0"/>
                <w:sz w:val="24"/>
                <w:szCs w:val="24"/>
                <w:lang w:val="zh-CN" w:bidi="zh-CN"/>
              </w:rPr>
              <w:t>分</w:t>
            </w:r>
            <w:r>
              <w:rPr>
                <w:rFonts w:hint="eastAsia" w:ascii="仿宋_GB2312" w:hAnsi="仿宋_GB2312" w:eastAsia="仿宋_GB2312" w:cs="仿宋_GB2312"/>
                <w:snapToGrid w:val="0"/>
                <w:color w:val="000000"/>
                <w:kern w:val="0"/>
                <w:sz w:val="24"/>
                <w:szCs w:val="24"/>
                <w:lang w:val="zh-CN" w:eastAsia="zh-CN" w:bidi="zh-CN"/>
              </w:rPr>
              <w:t>）</w:t>
            </w: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参与完成县级以上科研项目2项以上，并通过评审、验收。</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排名前三</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en-US" w:eastAsia="zh-CN" w:bidi="zh-CN"/>
              </w:rPr>
              <w:t>5</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en-US" w:eastAsia="zh-CN" w:bidi="zh-CN"/>
              </w:rPr>
              <w:t>3</w:t>
            </w:r>
            <w:r>
              <w:rPr>
                <w:rFonts w:hint="eastAsia" w:ascii="仿宋_GB2312" w:hAnsi="仿宋_GB2312" w:eastAsia="仿宋_GB2312" w:cs="仿宋_GB2312"/>
                <w:snapToGrid w:val="0"/>
                <w:color w:val="000000"/>
                <w:kern w:val="0"/>
                <w:sz w:val="24"/>
                <w:szCs w:val="24"/>
                <w:lang w:val="zh-CN" w:bidi="zh-CN"/>
              </w:rPr>
              <w:t>n</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项目需要经过验收或鉴定;n指经专家认定项目数。不同项目分数可以累计计分。主要考核该项目的实用性、经济效益和社会效益以及成果转化或进一步研究价值。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开发或推广新技术、新方法</w:t>
            </w:r>
          </w:p>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en-US" w:eastAsia="zh-CN" w:bidi="zh-CN"/>
              </w:rPr>
              <w:t>2</w:t>
            </w:r>
            <w:r>
              <w:rPr>
                <w:rFonts w:hint="eastAsia" w:ascii="仿宋_GB2312" w:hAnsi="仿宋_GB2312" w:eastAsia="仿宋_GB2312" w:cs="仿宋_GB2312"/>
                <w:snapToGrid w:val="0"/>
                <w:color w:val="000000"/>
                <w:kern w:val="0"/>
                <w:sz w:val="24"/>
                <w:szCs w:val="24"/>
                <w:lang w:val="zh-CN" w:bidi="zh-CN"/>
              </w:rPr>
              <w:t>分</w:t>
            </w:r>
            <w:r>
              <w:rPr>
                <w:rFonts w:hint="eastAsia" w:ascii="仿宋_GB2312" w:hAnsi="仿宋_GB2312" w:eastAsia="仿宋_GB2312" w:cs="仿宋_GB2312"/>
                <w:snapToGrid w:val="0"/>
                <w:color w:val="000000"/>
                <w:kern w:val="0"/>
                <w:sz w:val="24"/>
                <w:szCs w:val="24"/>
                <w:lang w:val="zh-CN" w:eastAsia="zh-CN" w:bidi="zh-CN"/>
              </w:rPr>
              <w:t>）</w:t>
            </w: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参与开发或推广防灾减灾新技术、新方法等项目1项以上，成效显著</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2</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bidi="zh-CN"/>
              </w:rPr>
              <w:t>获奖情况</w:t>
            </w: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en-US" w:eastAsia="zh-CN" w:bidi="zh-CN"/>
              </w:rPr>
              <w:t>4</w:t>
            </w:r>
            <w:r>
              <w:rPr>
                <w:rFonts w:hint="eastAsia" w:ascii="仿宋_GB2312" w:hAnsi="仿宋_GB2312" w:eastAsia="仿宋_GB2312" w:cs="仿宋_GB2312"/>
                <w:snapToGrid w:val="0"/>
                <w:color w:val="000000"/>
                <w:kern w:val="0"/>
                <w:sz w:val="24"/>
                <w:szCs w:val="24"/>
                <w:lang w:val="zh-CN" w:bidi="zh-CN"/>
              </w:rPr>
              <w:t>分</w:t>
            </w:r>
            <w:r>
              <w:rPr>
                <w:rFonts w:hint="eastAsia" w:ascii="仿宋_GB2312" w:hAnsi="仿宋_GB2312" w:eastAsia="仿宋_GB2312" w:cs="仿宋_GB2312"/>
                <w:snapToGrid w:val="0"/>
                <w:color w:val="000000"/>
                <w:kern w:val="0"/>
                <w:sz w:val="24"/>
                <w:szCs w:val="24"/>
                <w:lang w:val="zh-CN" w:eastAsia="zh-CN" w:bidi="zh-CN"/>
              </w:rPr>
              <w:t>）</w:t>
            </w: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bidi="zh-CN"/>
              </w:rPr>
              <w:t>奖项的主要参与者或所从事技术工作达区域内先进水平，取得良好社会和经济效益。</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省级及以上</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4</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4</w:t>
            </w:r>
          </w:p>
        </w:tc>
        <w:tc>
          <w:tcPr>
            <w:tcW w:w="3630" w:type="dxa"/>
            <w:gridSpan w:val="9"/>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市级</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3</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区县级</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2</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获得防灾减灾领域相关专利或软件著作权1项以上</w:t>
            </w:r>
          </w:p>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en-US" w:eastAsia="zh-CN" w:bidi="zh-CN"/>
              </w:rPr>
              <w:t>(3</w:t>
            </w:r>
            <w:r>
              <w:rPr>
                <w:rFonts w:hint="eastAsia" w:ascii="仿宋_GB2312" w:hAnsi="仿宋_GB2312" w:eastAsia="仿宋_GB2312" w:cs="仿宋_GB2312"/>
                <w:snapToGrid w:val="0"/>
                <w:color w:val="000000"/>
                <w:kern w:val="0"/>
                <w:sz w:val="24"/>
                <w:szCs w:val="24"/>
                <w:lang w:val="zh-CN" w:bidi="zh-CN"/>
              </w:rPr>
              <w:t>分</w:t>
            </w:r>
            <w:r>
              <w:rPr>
                <w:rFonts w:hint="eastAsia" w:ascii="仿宋_GB2312" w:hAnsi="仿宋_GB2312" w:eastAsia="仿宋_GB2312" w:cs="仿宋_GB2312"/>
                <w:snapToGrid w:val="0"/>
                <w:color w:val="000000"/>
                <w:kern w:val="0"/>
                <w:sz w:val="24"/>
                <w:szCs w:val="24"/>
                <w:lang w:val="en-US" w:eastAsia="zh-CN" w:bidi="zh-CN"/>
              </w:rPr>
              <w:t>)</w:t>
            </w: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eastAsia="zh-CN" w:bidi="zh-CN"/>
              </w:rPr>
              <w:t>相关</w:t>
            </w:r>
            <w:r>
              <w:rPr>
                <w:rFonts w:hint="eastAsia" w:ascii="仿宋_GB2312" w:hAnsi="仿宋_GB2312" w:eastAsia="仿宋_GB2312" w:cs="仿宋_GB2312"/>
                <w:snapToGrid w:val="0"/>
                <w:color w:val="000000"/>
                <w:kern w:val="0"/>
                <w:sz w:val="24"/>
                <w:szCs w:val="24"/>
                <w:lang w:val="zh-CN" w:bidi="zh-CN"/>
              </w:rPr>
              <w:t>专利</w:t>
            </w:r>
          </w:p>
        </w:tc>
        <w:tc>
          <w:tcPr>
            <w:tcW w:w="12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第一发明人</w:t>
            </w:r>
          </w:p>
        </w:tc>
        <w:tc>
          <w:tcPr>
            <w:tcW w:w="85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en-US" w:eastAsia="zh-CN" w:bidi="zh-CN"/>
              </w:rPr>
              <w:t>3</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en-US" w:eastAsia="zh-CN" w:bidi="zh-CN"/>
              </w:rPr>
              <w:t>3</w:t>
            </w:r>
            <w:r>
              <w:rPr>
                <w:rFonts w:hint="eastAsia" w:ascii="仿宋_GB2312" w:hAnsi="仿宋_GB2312" w:eastAsia="仿宋_GB2312" w:cs="仿宋_GB2312"/>
                <w:snapToGrid w:val="0"/>
                <w:color w:val="000000"/>
                <w:kern w:val="0"/>
                <w:sz w:val="24"/>
                <w:szCs w:val="24"/>
                <w:lang w:val="zh-CN" w:bidi="zh-CN"/>
              </w:rPr>
              <w:t>n</w:t>
            </w:r>
          </w:p>
        </w:tc>
        <w:tc>
          <w:tcPr>
            <w:tcW w:w="3630" w:type="dxa"/>
            <w:gridSpan w:val="9"/>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n为经专家认可产生实际效益的专利数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主要发明人</w:t>
            </w: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n</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软件著作权登记</w:t>
            </w:r>
          </w:p>
        </w:tc>
        <w:tc>
          <w:tcPr>
            <w:tcW w:w="12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排名第一</w:t>
            </w: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n</w:t>
            </w:r>
          </w:p>
        </w:tc>
        <w:tc>
          <w:tcPr>
            <w:tcW w:w="3630" w:type="dxa"/>
            <w:gridSpan w:val="9"/>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单位或专利代理事务所盖章为准，n为经专家认定产生实际效益的数。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排名前五</w:t>
            </w: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en-US" w:eastAsia="zh-CN" w:bidi="zh-CN"/>
              </w:rPr>
              <w:t>0.5</w:t>
            </w:r>
            <w:r>
              <w:rPr>
                <w:rFonts w:hint="eastAsia" w:ascii="仿宋_GB2312" w:hAnsi="仿宋_GB2312" w:eastAsia="仿宋_GB2312" w:cs="仿宋_GB2312"/>
                <w:snapToGrid w:val="0"/>
                <w:color w:val="000000"/>
                <w:kern w:val="0"/>
                <w:sz w:val="24"/>
                <w:szCs w:val="24"/>
                <w:lang w:val="zh-CN" w:bidi="zh-CN"/>
              </w:rPr>
              <w:t>n</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参与完成设区市</w:t>
            </w:r>
          </w:p>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zh-CN" w:bidi="zh-CN"/>
              </w:rPr>
              <w:t>厅</w:t>
            </w: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zh-CN" w:bidi="zh-CN"/>
              </w:rPr>
              <w:t>级以上标准/规程/规范1项以上，并颁布实施</w:t>
            </w:r>
          </w:p>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en-US" w:eastAsia="zh-CN" w:bidi="zh-CN"/>
              </w:rPr>
              <w:t>3</w:t>
            </w:r>
            <w:r>
              <w:rPr>
                <w:rFonts w:hint="eastAsia" w:ascii="仿宋_GB2312" w:hAnsi="仿宋_GB2312" w:eastAsia="仿宋_GB2312" w:cs="仿宋_GB2312"/>
                <w:snapToGrid w:val="0"/>
                <w:color w:val="000000"/>
                <w:kern w:val="0"/>
                <w:sz w:val="24"/>
                <w:szCs w:val="24"/>
                <w:lang w:val="zh-CN" w:bidi="zh-CN"/>
              </w:rPr>
              <w:t>分</w:t>
            </w:r>
            <w:r>
              <w:rPr>
                <w:rFonts w:hint="eastAsia" w:ascii="仿宋_GB2312" w:hAnsi="仿宋_GB2312" w:eastAsia="仿宋_GB2312" w:cs="仿宋_GB2312"/>
                <w:snapToGrid w:val="0"/>
                <w:color w:val="000000"/>
                <w:kern w:val="0"/>
                <w:sz w:val="24"/>
                <w:szCs w:val="24"/>
                <w:lang w:val="zh-CN" w:eastAsia="zh-CN" w:bidi="zh-CN"/>
              </w:rPr>
              <w:t>）</w:t>
            </w: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国家、行业</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3</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3n</w:t>
            </w:r>
          </w:p>
        </w:tc>
        <w:tc>
          <w:tcPr>
            <w:tcW w:w="3630" w:type="dxa"/>
            <w:gridSpan w:val="9"/>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n为编制数，有正式文件为据。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省级</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2n</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地市级</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1n</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eastAsia="zh-CN" w:bidi="zh-CN"/>
              </w:rPr>
              <w:t>团体</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0.5n</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bidi="zh-CN"/>
              </w:rPr>
              <w:t>论文著作</w:t>
            </w: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en-US" w:eastAsia="zh-CN" w:bidi="zh-CN"/>
              </w:rPr>
              <w:t>3</w:t>
            </w:r>
            <w:r>
              <w:rPr>
                <w:rFonts w:hint="eastAsia" w:ascii="仿宋_GB2312" w:hAnsi="仿宋_GB2312" w:eastAsia="仿宋_GB2312" w:cs="仿宋_GB2312"/>
                <w:snapToGrid w:val="0"/>
                <w:color w:val="000000"/>
                <w:kern w:val="0"/>
                <w:sz w:val="24"/>
                <w:szCs w:val="24"/>
                <w:lang w:val="zh-CN" w:bidi="zh-CN"/>
              </w:rPr>
              <w:t>分</w:t>
            </w:r>
            <w:r>
              <w:rPr>
                <w:rFonts w:hint="eastAsia" w:ascii="仿宋_GB2312" w:hAnsi="仿宋_GB2312" w:eastAsia="仿宋_GB2312" w:cs="仿宋_GB2312"/>
                <w:snapToGrid w:val="0"/>
                <w:color w:val="000000"/>
                <w:kern w:val="0"/>
                <w:sz w:val="24"/>
                <w:szCs w:val="24"/>
                <w:lang w:val="zh-CN" w:eastAsia="zh-CN" w:bidi="zh-CN"/>
              </w:rPr>
              <w:t>）</w:t>
            </w: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著作</w:t>
            </w: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zh-CN" w:bidi="zh-CN"/>
              </w:rPr>
              <w:t>编著、教材、译著</w:t>
            </w:r>
          </w:p>
        </w:tc>
        <w:tc>
          <w:tcPr>
            <w:tcW w:w="12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专著</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主编/第一作者</w:t>
            </w: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en-US" w:eastAsia="zh-CN" w:bidi="zh-CN"/>
              </w:rPr>
              <w:t>3</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3</w:t>
            </w:r>
            <w:r>
              <w:rPr>
                <w:rFonts w:hint="eastAsia" w:ascii="仿宋_GB2312" w:hAnsi="仿宋_GB2312" w:eastAsia="仿宋_GB2312" w:cs="仿宋_GB2312"/>
                <w:snapToGrid w:val="0"/>
                <w:color w:val="000000"/>
                <w:kern w:val="0"/>
                <w:sz w:val="24"/>
                <w:szCs w:val="24"/>
                <w:lang w:val="zh-CN" w:bidi="zh-CN"/>
              </w:rPr>
              <w:t>n</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指任现职后工作期间发表的论文、专著，n为经专家认定的数。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参编/其他作者</w:t>
            </w: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2</w:t>
            </w:r>
            <w:r>
              <w:rPr>
                <w:rFonts w:hint="eastAsia" w:ascii="仿宋_GB2312" w:hAnsi="仿宋_GB2312" w:eastAsia="仿宋_GB2312" w:cs="仿宋_GB2312"/>
                <w:snapToGrid w:val="0"/>
                <w:color w:val="000000"/>
                <w:kern w:val="0"/>
                <w:sz w:val="24"/>
                <w:szCs w:val="24"/>
                <w:lang w:val="zh-CN" w:bidi="zh-CN"/>
              </w:rPr>
              <w:t>n</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SCI</w:t>
            </w: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zh-CN" w:bidi="zh-CN"/>
              </w:rPr>
              <w:t>EI、ISTP</w:t>
            </w:r>
          </w:p>
        </w:tc>
        <w:tc>
          <w:tcPr>
            <w:tcW w:w="12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第一作者或通讯作者</w:t>
            </w: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2</w:t>
            </w:r>
            <w:r>
              <w:rPr>
                <w:rFonts w:hint="eastAsia" w:ascii="仿宋_GB2312" w:hAnsi="仿宋_GB2312" w:eastAsia="仿宋_GB2312" w:cs="仿宋_GB2312"/>
                <w:snapToGrid w:val="0"/>
                <w:color w:val="000000"/>
                <w:kern w:val="0"/>
                <w:sz w:val="24"/>
                <w:szCs w:val="24"/>
                <w:lang w:val="zh-CN" w:bidi="zh-CN"/>
              </w:rPr>
              <w:t>n</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第二至五作者</w:t>
            </w: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zh-CN" w:bidi="zh-CN"/>
              </w:rPr>
              <w:t>n</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核心期刊</w:t>
            </w:r>
          </w:p>
        </w:tc>
        <w:tc>
          <w:tcPr>
            <w:tcW w:w="12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第一作者或通讯作者</w:t>
            </w: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en-US" w:eastAsia="zh-CN" w:bidi="zh-CN"/>
              </w:rPr>
              <w:t>2</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zh-CN" w:bidi="zh-CN"/>
              </w:rPr>
              <w:t>n</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第二、三作者</w:t>
            </w: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zh-CN" w:bidi="zh-CN"/>
              </w:rPr>
              <w:t>0.5n</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公开发表的学术期刊</w:t>
            </w:r>
          </w:p>
        </w:tc>
        <w:tc>
          <w:tcPr>
            <w:tcW w:w="12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第一作者或通讯作者</w:t>
            </w: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en-US" w:eastAsia="zh-CN" w:bidi="zh-CN"/>
              </w:rPr>
              <w:t>1</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zh-CN" w:bidi="zh-CN"/>
              </w:rPr>
              <w:t>0.5n</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3512" w:type="dxa"/>
            <w:gridSpan w:val="18"/>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both"/>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备注：评价指标和各级指标有最高得分值，某项得分超过指标所设定的最高分，按最高分计算该项得分。</w:t>
            </w:r>
          </w:p>
        </w:tc>
      </w:tr>
    </w:tbl>
    <w:p>
      <w:pPr>
        <w:ind w:left="0" w:leftChars="0" w:firstLine="0" w:firstLineChars="0"/>
        <w:sectPr>
          <w:pgSz w:w="16838" w:h="11906" w:orient="landscape"/>
          <w:pgMar w:top="1531" w:right="1701" w:bottom="1531" w:left="1701" w:header="851" w:footer="992" w:gutter="0"/>
          <w:pgNumType w:fmt="decimal"/>
          <w:cols w:space="0" w:num="1"/>
          <w:rtlGutter w:val="0"/>
          <w:docGrid w:type="lines" w:linePitch="312" w:charSpace="0"/>
        </w:sectPr>
      </w:pPr>
    </w:p>
    <w:p>
      <w:pPr>
        <w:pStyle w:val="5"/>
        <w:bidi w:val="0"/>
        <w:rPr>
          <w:rFonts w:hint="eastAsia"/>
        </w:rPr>
      </w:pPr>
      <w:r>
        <w:rPr>
          <w:rFonts w:hint="eastAsia"/>
        </w:rPr>
        <w:t>台州市应急救援领域工程师职务任职资格</w:t>
      </w:r>
    </w:p>
    <w:p>
      <w:pPr>
        <w:pStyle w:val="5"/>
        <w:bidi w:val="0"/>
        <w:rPr>
          <w:rFonts w:hint="eastAsia"/>
        </w:rPr>
      </w:pPr>
      <w:r>
        <w:rPr>
          <w:rFonts w:hint="eastAsia"/>
        </w:rPr>
        <w:t>评价条件（试行）</w:t>
      </w:r>
    </w:p>
    <w:p>
      <w:pPr>
        <w:pStyle w:val="20"/>
        <w:bidi w:val="0"/>
        <w:rPr>
          <w:rFonts w:hint="eastAsia"/>
        </w:rPr>
      </w:pPr>
      <w:r>
        <w:rPr>
          <w:rFonts w:hint="eastAsia"/>
        </w:rPr>
        <w:t>第一章  总  则</w:t>
      </w:r>
    </w:p>
    <w:p>
      <w:pPr>
        <w:rPr>
          <w:rFonts w:hint="eastAsia"/>
        </w:rPr>
      </w:pPr>
      <w:r>
        <w:rPr>
          <w:rStyle w:val="22"/>
          <w:rFonts w:hint="eastAsia"/>
        </w:rPr>
        <w:t xml:space="preserve">第一条  </w:t>
      </w:r>
      <w:r>
        <w:rPr>
          <w:rFonts w:hint="eastAsia"/>
        </w:rPr>
        <w:t>为客观公正评价应急救援领域技术人员的能力和水平，完善应急救援领域人才选拔机制，促进应急救援领域技术人才队伍整体素质提高，根据中央和省委有关深化职称制度改革意见，结合实际，制定本评价条件。</w:t>
      </w:r>
    </w:p>
    <w:p>
      <w:pPr>
        <w:rPr>
          <w:rFonts w:hint="eastAsia"/>
        </w:rPr>
      </w:pPr>
      <w:r>
        <w:rPr>
          <w:rStyle w:val="22"/>
          <w:rFonts w:hint="eastAsia"/>
        </w:rPr>
        <w:t xml:space="preserve">第二条 </w:t>
      </w:r>
      <w:r>
        <w:rPr>
          <w:rFonts w:hint="eastAsia"/>
        </w:rPr>
        <w:t xml:space="preserve"> 本评价条件适用于我市从事应急救援管理与指挥、应急救援技术等工作的专业技术人员申报工程师职务任职资格，其中事业单位人员应按照评聘结合原则执行。</w:t>
      </w:r>
    </w:p>
    <w:p>
      <w:pPr>
        <w:rPr>
          <w:rFonts w:hint="eastAsia"/>
        </w:rPr>
      </w:pPr>
      <w:r>
        <w:rPr>
          <w:rFonts w:hint="eastAsia"/>
        </w:rPr>
        <w:t>（一）应急救援管理与指挥相关工作：指从事应急救援现场处置管理与应急指挥调度，应急救援标准制修订，应急救援预案编制，应急救援演练评估等工作。</w:t>
      </w:r>
    </w:p>
    <w:p>
      <w:pPr>
        <w:rPr>
          <w:rFonts w:hint="eastAsia"/>
        </w:rPr>
      </w:pPr>
      <w:r>
        <w:rPr>
          <w:rFonts w:hint="eastAsia"/>
        </w:rPr>
        <w:t>（二）应急救援技术相关工作：指从事陆地搜索与救援、危险化学品应急救援、矿山（隧道）救援、水域搜索与救援、地质灾害应急救援、森林火灾扑救等应急救援工作，应急救援技术指导，应急救援新技术、新方法开发与推广等工作。</w:t>
      </w:r>
    </w:p>
    <w:p>
      <w:pPr>
        <w:rPr>
          <w:rFonts w:hint="eastAsia"/>
        </w:rPr>
      </w:pPr>
      <w:r>
        <w:rPr>
          <w:rStyle w:val="22"/>
          <w:rFonts w:hint="eastAsia"/>
        </w:rPr>
        <w:t xml:space="preserve">第三条 </w:t>
      </w:r>
      <w:r>
        <w:rPr>
          <w:rFonts w:hint="eastAsia"/>
        </w:rPr>
        <w:t xml:space="preserve"> 按照本评价条件通过评审，获得应急救援领域工程师职务任职资格的人员，表明其具有相应的专业技术和学术水平，是聘任应急救援领域工程师职务的重要依据。</w:t>
      </w:r>
    </w:p>
    <w:p>
      <w:pPr>
        <w:pStyle w:val="20"/>
        <w:bidi w:val="0"/>
        <w:rPr>
          <w:rFonts w:hint="eastAsia"/>
        </w:rPr>
      </w:pPr>
      <w:r>
        <w:rPr>
          <w:rFonts w:hint="eastAsia"/>
        </w:rPr>
        <w:t>第二章  申报基本条件</w:t>
      </w:r>
    </w:p>
    <w:p>
      <w:pPr>
        <w:rPr>
          <w:rFonts w:hint="eastAsia"/>
        </w:rPr>
      </w:pPr>
      <w:r>
        <w:rPr>
          <w:rStyle w:val="22"/>
          <w:rFonts w:hint="eastAsia"/>
        </w:rPr>
        <w:t xml:space="preserve">第四条 </w:t>
      </w:r>
      <w:r>
        <w:rPr>
          <w:rFonts w:hint="eastAsia"/>
        </w:rPr>
        <w:t xml:space="preserve"> 申报人员应当遵守《中华人民共和国宪法》和法律法规，拥护中国共产党的领导，坚持党的路线方针政策，坚持社会主义核心价值观，热爱应急救援工作，认真履行岗位职责，具有良好的职业道德、学术修养和敬业精神，积极为应急救援事业服务。</w:t>
      </w:r>
    </w:p>
    <w:p>
      <w:pPr>
        <w:rPr>
          <w:rFonts w:hint="eastAsia"/>
        </w:rPr>
      </w:pPr>
      <w:r>
        <w:rPr>
          <w:rStyle w:val="22"/>
          <w:rFonts w:hint="eastAsia"/>
        </w:rPr>
        <w:t xml:space="preserve">第五条  </w:t>
      </w:r>
      <w:r>
        <w:rPr>
          <w:rFonts w:hint="eastAsia"/>
        </w:rPr>
        <w:t>符合下列条件之一者，可申报工程师职务任职资格：</w:t>
      </w:r>
    </w:p>
    <w:p>
      <w:pPr>
        <w:rPr>
          <w:rFonts w:hint="eastAsia"/>
        </w:rPr>
      </w:pPr>
      <w:r>
        <w:rPr>
          <w:rFonts w:hint="eastAsia"/>
        </w:rPr>
        <w:t>（一）获得相应理、工、农、医学科大学专科以上学历，取得助理工程师职务任职资格后，实际聘任助理工程师职务4年以上。</w:t>
      </w:r>
    </w:p>
    <w:p>
      <w:pPr>
        <w:rPr>
          <w:rFonts w:hint="eastAsia"/>
        </w:rPr>
      </w:pPr>
      <w:r>
        <w:rPr>
          <w:rFonts w:hint="eastAsia"/>
        </w:rPr>
        <w:t>（二）获得相应理、工、农、医学科硕士学位或第二学士学位，取得助理工程师职务任职资格后，实际聘任助理工程师职务2年以上。</w:t>
      </w:r>
    </w:p>
    <w:p>
      <w:pPr>
        <w:rPr>
          <w:rFonts w:hint="eastAsia"/>
        </w:rPr>
      </w:pPr>
      <w:r>
        <w:rPr>
          <w:rFonts w:hint="eastAsia"/>
        </w:rPr>
        <w:t>（三）获得应急救援类技师职业资格后，从事应急救援工作3年以上。</w:t>
      </w:r>
    </w:p>
    <w:p>
      <w:pPr>
        <w:rPr>
          <w:rFonts w:hint="eastAsia"/>
        </w:rPr>
      </w:pPr>
      <w:r>
        <w:rPr>
          <w:rFonts w:hint="eastAsia"/>
        </w:rPr>
        <w:t>（四）任其他中级专业技术职务的人员，因岗位变动，需转评应急救援领域工程师职务任职资格的，应从事应急救援领域专业技术工作1年以上。</w:t>
      </w:r>
    </w:p>
    <w:p>
      <w:pPr>
        <w:rPr>
          <w:rFonts w:hint="eastAsia"/>
        </w:rPr>
      </w:pPr>
      <w:r>
        <w:rPr>
          <w:rStyle w:val="22"/>
          <w:rFonts w:hint="eastAsia"/>
        </w:rPr>
        <w:t>第六条</w:t>
      </w:r>
      <w:r>
        <w:rPr>
          <w:rFonts w:hint="eastAsia"/>
        </w:rPr>
        <w:t xml:space="preserve">  下列人员经考核合格，可初定工程师职务任职资格：</w:t>
      </w:r>
    </w:p>
    <w:p>
      <w:pPr>
        <w:rPr>
          <w:rFonts w:hint="eastAsia"/>
        </w:rPr>
      </w:pPr>
      <w:r>
        <w:rPr>
          <w:rFonts w:hint="eastAsia"/>
        </w:rPr>
        <w:t>（一）具有相应理、工、农、医学科研究生学历或硕士学位者，从事专业工作满3年（学历或学位取得前后从事应急救援领域的工作年限可以相加，但学历或学位取得后从事专业工作须满1年）。</w:t>
      </w:r>
    </w:p>
    <w:p>
      <w:pPr>
        <w:rPr>
          <w:rFonts w:hint="eastAsia"/>
        </w:rPr>
      </w:pPr>
      <w:r>
        <w:rPr>
          <w:rFonts w:hint="eastAsia"/>
        </w:rPr>
        <w:t>（二）具有相应理、工、农、医学科博士学位者。</w:t>
      </w:r>
    </w:p>
    <w:p>
      <w:pPr>
        <w:rPr>
          <w:rFonts w:hint="eastAsia"/>
        </w:rPr>
      </w:pPr>
      <w:r>
        <w:rPr>
          <w:rStyle w:val="22"/>
          <w:rFonts w:hint="eastAsia"/>
        </w:rPr>
        <w:t>第七条</w:t>
      </w:r>
      <w:r>
        <w:rPr>
          <w:rFonts w:hint="eastAsia"/>
        </w:rPr>
        <w:t xml:space="preserve">  取得以下业绩成果之一的，可直接申报工程师职务任职资格：</w:t>
      </w:r>
    </w:p>
    <w:p>
      <w:pPr>
        <w:rPr>
          <w:rFonts w:hint="eastAsia"/>
        </w:rPr>
      </w:pPr>
      <w:r>
        <w:rPr>
          <w:rFonts w:hint="eastAsia"/>
        </w:rPr>
        <w:t>（一）获得应急救援领域世界技能大赛优胜奖。</w:t>
      </w:r>
    </w:p>
    <w:p>
      <w:pPr>
        <w:rPr>
          <w:rFonts w:hint="eastAsia"/>
        </w:rPr>
      </w:pPr>
      <w:r>
        <w:rPr>
          <w:rFonts w:hint="eastAsia"/>
        </w:rPr>
        <w:t>（二）应急救援领域国家级一类技能竞赛前五名、国家级二类技能竞赛前三名。</w:t>
      </w:r>
    </w:p>
    <w:p>
      <w:pPr>
        <w:rPr>
          <w:rFonts w:hint="eastAsia"/>
        </w:rPr>
      </w:pPr>
      <w:r>
        <w:rPr>
          <w:rFonts w:hint="eastAsia"/>
        </w:rPr>
        <w:t>（三）入选应急救援领域“拔尖技能人才”等人员。</w:t>
      </w:r>
    </w:p>
    <w:p>
      <w:pPr>
        <w:rPr>
          <w:rFonts w:hint="eastAsia"/>
        </w:rPr>
      </w:pPr>
      <w:r>
        <w:rPr>
          <w:rFonts w:hint="eastAsia"/>
        </w:rPr>
        <w:t>（四）在应急救援技术领域做出较大贡献或突出成就获得省（部）级先进个人或个人三等功的人员。</w:t>
      </w:r>
    </w:p>
    <w:p>
      <w:pPr>
        <w:rPr>
          <w:rFonts w:hint="eastAsia"/>
        </w:rPr>
      </w:pPr>
      <w:r>
        <w:rPr>
          <w:rStyle w:val="22"/>
          <w:rFonts w:hint="eastAsia"/>
        </w:rPr>
        <w:t>第八条</w:t>
      </w:r>
      <w:r>
        <w:rPr>
          <w:rFonts w:hint="eastAsia"/>
        </w:rPr>
        <w:t xml:space="preserve">  申报工程师职务任职资格的，近4年年度考核为合格（或称职）以上等次。</w:t>
      </w:r>
    </w:p>
    <w:p>
      <w:pPr>
        <w:rPr>
          <w:rFonts w:hint="eastAsia"/>
        </w:rPr>
      </w:pPr>
      <w:r>
        <w:rPr>
          <w:rStyle w:val="22"/>
          <w:rFonts w:hint="eastAsia"/>
        </w:rPr>
        <w:t xml:space="preserve">第九条 </w:t>
      </w:r>
      <w:r>
        <w:rPr>
          <w:rFonts w:hint="eastAsia"/>
        </w:rPr>
        <w:t xml:space="preserve"> 申报评审应急救援领域工程师职务任职资格的，应当按照《浙江省应急管理专业技术人员继续教育学时登记细则》规定完成继续教育学习。</w:t>
      </w:r>
    </w:p>
    <w:p>
      <w:pPr>
        <w:pStyle w:val="20"/>
        <w:bidi w:val="0"/>
        <w:rPr>
          <w:rFonts w:hint="eastAsia"/>
        </w:rPr>
      </w:pPr>
      <w:r>
        <w:rPr>
          <w:rFonts w:hint="eastAsia"/>
        </w:rPr>
        <w:t>第三章评审条件</w:t>
      </w:r>
    </w:p>
    <w:p>
      <w:pPr>
        <w:rPr>
          <w:rFonts w:hint="eastAsia"/>
        </w:rPr>
      </w:pPr>
      <w:r>
        <w:rPr>
          <w:rStyle w:val="22"/>
          <w:rFonts w:hint="eastAsia"/>
        </w:rPr>
        <w:t xml:space="preserve">第十条 </w:t>
      </w:r>
      <w:r>
        <w:rPr>
          <w:rFonts w:hint="eastAsia"/>
        </w:rPr>
        <w:t xml:space="preserve"> 申报应急救援领域工程师职务任职资格人员应达到的评审条件：</w:t>
      </w:r>
    </w:p>
    <w:p>
      <w:pPr>
        <w:rPr>
          <w:rFonts w:hint="eastAsia"/>
          <w:b/>
          <w:bCs/>
        </w:rPr>
      </w:pPr>
      <w:r>
        <w:rPr>
          <w:rFonts w:hint="eastAsia"/>
          <w:b/>
          <w:bCs/>
        </w:rPr>
        <w:t>（一）专业理论知识</w:t>
      </w:r>
    </w:p>
    <w:p>
      <w:pPr>
        <w:rPr>
          <w:rFonts w:hint="eastAsia"/>
        </w:rPr>
      </w:pPr>
      <w:r>
        <w:rPr>
          <w:rFonts w:hint="eastAsia"/>
        </w:rPr>
        <w:t>较系统地掌握应急救援领域的基础理论知识和专业技术知识，能较熟练地运用应急救援领域的技术标准、规范和规程，了解应急救援领域国内外技术现状和发展趋势。</w:t>
      </w:r>
    </w:p>
    <w:p>
      <w:pPr>
        <w:rPr>
          <w:rFonts w:hint="eastAsia"/>
          <w:b/>
          <w:bCs/>
        </w:rPr>
      </w:pPr>
      <w:r>
        <w:rPr>
          <w:rFonts w:hint="eastAsia"/>
          <w:b/>
          <w:bCs/>
        </w:rPr>
        <w:t>（二）专业技术工作经历与能力</w:t>
      </w:r>
    </w:p>
    <w:p>
      <w:pPr>
        <w:rPr>
          <w:rFonts w:hint="eastAsia"/>
        </w:rPr>
      </w:pPr>
      <w:r>
        <w:rPr>
          <w:rFonts w:hint="eastAsia"/>
        </w:rPr>
        <w:t>具有运用应急救援领域的理论和现有技术成果，开展安全生产类、自然灾害类等突发事件应急救援，应急救援技术指导，或应急救援新技术、新方法开发或推广的经历和能力。</w:t>
      </w:r>
    </w:p>
    <w:p>
      <w:pPr>
        <w:rPr>
          <w:rFonts w:hint="eastAsia"/>
          <w:b/>
          <w:bCs/>
        </w:rPr>
      </w:pPr>
      <w:r>
        <w:rPr>
          <w:rFonts w:hint="eastAsia"/>
          <w:b/>
          <w:bCs/>
        </w:rPr>
        <w:t>（三）专业技术工作业绩与成果</w:t>
      </w:r>
    </w:p>
    <w:p>
      <w:pPr>
        <w:rPr>
          <w:rFonts w:hint="eastAsia"/>
        </w:rPr>
      </w:pPr>
      <w:r>
        <w:rPr>
          <w:rFonts w:hint="eastAsia"/>
        </w:rPr>
        <w:t>任助理工程师期间，应至少具备下列条件之一：</w:t>
      </w:r>
    </w:p>
    <w:p>
      <w:pPr>
        <w:rPr>
          <w:rFonts w:hint="eastAsia"/>
        </w:rPr>
      </w:pPr>
      <w:r>
        <w:rPr>
          <w:rFonts w:hint="eastAsia"/>
        </w:rPr>
        <w:t>1.参与完成设区市（厅）级以上标准/规程/规范1项以上，并颁布实施。</w:t>
      </w:r>
    </w:p>
    <w:p>
      <w:pPr>
        <w:rPr>
          <w:rFonts w:hint="eastAsia"/>
        </w:rPr>
      </w:pPr>
      <w:r>
        <w:rPr>
          <w:rFonts w:hint="eastAsia"/>
        </w:rPr>
        <w:t>2.作为救援队伍专业技术人员参与安全生产类、自然灾害类突发事件的应急处置工作，完成建筑物坍塌搜索与救援、或山地（绳索）救援、或危险化学品应急救援、或矿山（隧道）救援、或水域搜索与救援、或地质灾害应急救援、或森林火灾扑救等相关救援工作8次以上（其中较大以上灾害事故4次、或重大以上灾害事故2次）,应急救援分类详见附件。</w:t>
      </w:r>
    </w:p>
    <w:p>
      <w:pPr>
        <w:rPr>
          <w:rFonts w:hint="eastAsia"/>
        </w:rPr>
      </w:pPr>
      <w:r>
        <w:rPr>
          <w:rFonts w:hint="eastAsia"/>
        </w:rPr>
        <w:t>3.参与完成县级以上总体应急预案或安全生产类、自然灾害类专项应急预案编制5项以上，并颁布实施。</w:t>
      </w:r>
    </w:p>
    <w:p>
      <w:pPr>
        <w:rPr>
          <w:rFonts w:hint="eastAsia"/>
        </w:rPr>
      </w:pPr>
      <w:r>
        <w:rPr>
          <w:rFonts w:hint="eastAsia"/>
        </w:rPr>
        <w:t>4.参与组织策划完成县级以上安全生产类、自然灾害类专项应急预案演练10项以上，并形成演练评估总结报告。</w:t>
      </w:r>
    </w:p>
    <w:p>
      <w:pPr>
        <w:rPr>
          <w:rFonts w:hint="eastAsia"/>
        </w:rPr>
      </w:pPr>
      <w:r>
        <w:rPr>
          <w:rFonts w:hint="eastAsia"/>
        </w:rPr>
        <w:t>5.作为应急救援队伍专业技术人员，为社会公众提供应急救援技术培训、指导，累计授课300课时。</w:t>
      </w:r>
    </w:p>
    <w:p>
      <w:pPr>
        <w:rPr>
          <w:rFonts w:hint="eastAsia"/>
        </w:rPr>
      </w:pPr>
      <w:r>
        <w:rPr>
          <w:rFonts w:hint="eastAsia"/>
        </w:rPr>
        <w:t>6.参与完成县级以上科研项目2项以上，并通过评审、验收。</w:t>
      </w:r>
    </w:p>
    <w:p>
      <w:pPr>
        <w:rPr>
          <w:rFonts w:hint="eastAsia"/>
        </w:rPr>
      </w:pPr>
      <w:r>
        <w:rPr>
          <w:rFonts w:hint="eastAsia"/>
        </w:rPr>
        <w:t>7.参与开发应急救援新技术、新方法等项目1项以上;或参与成功推广应用项目2项以上，成效显著。</w:t>
      </w:r>
    </w:p>
    <w:p>
      <w:pPr>
        <w:rPr>
          <w:rFonts w:hint="eastAsia"/>
        </w:rPr>
      </w:pPr>
      <w:r>
        <w:rPr>
          <w:rFonts w:hint="eastAsia"/>
        </w:rPr>
        <w:t>8.获得市（厅）级以上应急救援竞赛项目个人一等奖1项以上。</w:t>
      </w:r>
    </w:p>
    <w:p>
      <w:pPr>
        <w:rPr>
          <w:rFonts w:hint="eastAsia"/>
        </w:rPr>
      </w:pPr>
      <w:r>
        <w:rPr>
          <w:rFonts w:hint="eastAsia"/>
        </w:rPr>
        <w:t>9.获得应急救援领域相关专利或软件著作权1项以上。</w:t>
      </w:r>
    </w:p>
    <w:p>
      <w:pPr>
        <w:rPr>
          <w:rFonts w:hint="eastAsia"/>
          <w:b/>
          <w:bCs/>
        </w:rPr>
      </w:pPr>
      <w:r>
        <w:rPr>
          <w:rFonts w:hint="eastAsia"/>
          <w:b/>
          <w:bCs/>
        </w:rPr>
        <w:t>（四）论文、著作条件</w:t>
      </w:r>
    </w:p>
    <w:p>
      <w:pPr>
        <w:rPr>
          <w:rFonts w:hint="eastAsia"/>
        </w:rPr>
      </w:pPr>
      <w:r>
        <w:rPr>
          <w:rFonts w:hint="eastAsia"/>
        </w:rPr>
        <w:t>在全国公开发行的专业期刊或省、部级以上专业性学术会议上发表过论文，或出版过有一定学术水平的专著或译著。</w:t>
      </w:r>
    </w:p>
    <w:p>
      <w:pPr>
        <w:pStyle w:val="20"/>
        <w:bidi w:val="0"/>
        <w:rPr>
          <w:rFonts w:hint="eastAsia"/>
        </w:rPr>
      </w:pPr>
      <w:r>
        <w:rPr>
          <w:rFonts w:hint="eastAsia"/>
        </w:rPr>
        <w:t>第四章 附 则</w:t>
      </w:r>
    </w:p>
    <w:p>
      <w:pPr>
        <w:rPr>
          <w:rFonts w:hint="eastAsia"/>
        </w:rPr>
      </w:pPr>
      <w:r>
        <w:rPr>
          <w:rStyle w:val="22"/>
          <w:rFonts w:hint="eastAsia"/>
        </w:rPr>
        <w:t xml:space="preserve">第十一条  </w:t>
      </w:r>
      <w:r>
        <w:rPr>
          <w:rFonts w:hint="eastAsia"/>
        </w:rPr>
        <w:t>本评价条件中涉及的工作能力、工作业绩（含标志性业绩成果）、科研成果、发明专利、继续教育证明、论文论著等均与应急救援领域相关且为任现职或近5年以来取得，并需提供相应的佐证材料。</w:t>
      </w:r>
    </w:p>
    <w:p>
      <w:pPr>
        <w:rPr>
          <w:rFonts w:hint="eastAsia"/>
        </w:rPr>
      </w:pPr>
      <w:r>
        <w:rPr>
          <w:rStyle w:val="22"/>
          <w:rFonts w:hint="eastAsia"/>
        </w:rPr>
        <w:t xml:space="preserve">第十二条 </w:t>
      </w:r>
      <w:r>
        <w:rPr>
          <w:rFonts w:hint="eastAsia"/>
        </w:rPr>
        <w:t xml:space="preserve"> 工程师评审主要采取定性方式。市应急管理领域中级专业技术资格评审委员会制定量化赋分标准，量化赋分标准和规定分值根据行业发展情况适时调整。</w:t>
      </w:r>
    </w:p>
    <w:p>
      <w:pPr>
        <w:rPr>
          <w:rFonts w:hint="eastAsia"/>
        </w:rPr>
      </w:pPr>
      <w:r>
        <w:rPr>
          <w:rStyle w:val="22"/>
          <w:rFonts w:hint="eastAsia"/>
        </w:rPr>
        <w:t>第十三条</w:t>
      </w:r>
      <w:r>
        <w:rPr>
          <w:rFonts w:hint="eastAsia"/>
        </w:rPr>
        <w:t xml:space="preserve">  申报人员有下列情形之一的，取消其评审资格，已通过评审的人员，取消其职务任职资格，由发证机关收回其任职资格证书，并从次年起3年内不得申报相应职务任职资格评审：</w:t>
      </w:r>
    </w:p>
    <w:p>
      <w:pPr>
        <w:rPr>
          <w:rFonts w:hint="eastAsia"/>
        </w:rPr>
      </w:pPr>
      <w:r>
        <w:rPr>
          <w:rFonts w:hint="eastAsia"/>
        </w:rPr>
        <w:t>（一）伪造、变造证件、证明等申报材料的。</w:t>
      </w:r>
    </w:p>
    <w:p>
      <w:pPr>
        <w:rPr>
          <w:rFonts w:hint="eastAsia"/>
        </w:rPr>
      </w:pPr>
      <w:r>
        <w:rPr>
          <w:rFonts w:hint="eastAsia"/>
        </w:rPr>
        <w:t>（二）有违纪违法行为仍在处理、处分、处罚阶段或任现职后有严重违纪违法行为，在申报材料中未反映的。</w:t>
      </w:r>
    </w:p>
    <w:p>
      <w:pPr>
        <w:rPr>
          <w:rFonts w:hint="eastAsia"/>
        </w:rPr>
      </w:pPr>
      <w:r>
        <w:rPr>
          <w:rFonts w:hint="eastAsia"/>
        </w:rPr>
        <w:t>（三）有其他弄虚作假、营私舞弊行为的。</w:t>
      </w:r>
    </w:p>
    <w:p>
      <w:pPr>
        <w:rPr>
          <w:rFonts w:hint="eastAsia"/>
        </w:rPr>
      </w:pPr>
      <w:r>
        <w:rPr>
          <w:rStyle w:val="22"/>
          <w:rFonts w:hint="eastAsia"/>
        </w:rPr>
        <w:t xml:space="preserve">第十四条 </w:t>
      </w:r>
      <w:r>
        <w:rPr>
          <w:rFonts w:hint="eastAsia"/>
        </w:rPr>
        <w:t xml:space="preserve"> 本评价条件中有关词语或概念的特定解释。</w:t>
      </w:r>
    </w:p>
    <w:p>
      <w:pPr>
        <w:rPr>
          <w:rFonts w:hint="eastAsia"/>
        </w:rPr>
      </w:pPr>
      <w:r>
        <w:rPr>
          <w:rFonts w:hint="eastAsia"/>
        </w:rPr>
        <w:t>（一）获奖人员是指国家有关机构规定的获奖项目、课题各等级内额定获奖人员（有个人获奖证书或文件）。</w:t>
      </w:r>
    </w:p>
    <w:p>
      <w:pPr>
        <w:rPr>
          <w:rFonts w:hint="eastAsia"/>
        </w:rPr>
      </w:pPr>
      <w:r>
        <w:rPr>
          <w:rFonts w:hint="eastAsia"/>
        </w:rPr>
        <w:t>（二）“为主”是指项目（包括国家级科技项目子课题）排名前三的完成者（以项目计划任务书或有关文件为准）。</w:t>
      </w:r>
    </w:p>
    <w:p>
      <w:pPr>
        <w:rPr>
          <w:rFonts w:hint="eastAsia"/>
        </w:rPr>
      </w:pPr>
      <w:r>
        <w:rPr>
          <w:rFonts w:hint="eastAsia"/>
        </w:rPr>
        <w:t>（三）省、部级以上期刊是指省、部级以上专业学会（协会）或省、部级以上业务部门主办的公开发行的有正式刊号的刊物。核心期刊是指属于中文核心期刊、中国科技核心期刊、CSCD期刊和中国核心期刊遴选数据库体系内的期刊。</w:t>
      </w:r>
    </w:p>
    <w:p>
      <w:pPr>
        <w:rPr>
          <w:rFonts w:hint="eastAsia"/>
        </w:rPr>
      </w:pPr>
      <w:r>
        <w:rPr>
          <w:rFonts w:hint="eastAsia"/>
        </w:rPr>
        <w:t>（四）标志性业绩成果中的获奖专利是指发明专利。</w:t>
      </w:r>
    </w:p>
    <w:p>
      <w:pPr>
        <w:rPr>
          <w:rFonts w:hint="eastAsia"/>
        </w:rPr>
      </w:pPr>
      <w:r>
        <w:rPr>
          <w:rFonts w:hint="eastAsia"/>
        </w:rPr>
        <w:t>（五）佐证材料是指能提供本人在所完成的业绩成果中地位、作用的书面证明材料。</w:t>
      </w:r>
    </w:p>
    <w:p>
      <w:pPr>
        <w:rPr>
          <w:rFonts w:hint="eastAsia"/>
        </w:rPr>
      </w:pPr>
      <w:r>
        <w:rPr>
          <w:rFonts w:hint="eastAsia"/>
        </w:rPr>
        <w:t>（六）编著是指撰写内容字数达到3万字以上。</w:t>
      </w:r>
    </w:p>
    <w:p>
      <w:pPr>
        <w:rPr>
          <w:rFonts w:hint="eastAsia"/>
        </w:rPr>
      </w:pPr>
      <w:r>
        <w:rPr>
          <w:rFonts w:hint="eastAsia"/>
        </w:rPr>
        <w:t>（七）“以上”均含本级或本数。</w:t>
      </w:r>
    </w:p>
    <w:p>
      <w:pPr>
        <w:rPr>
          <w:rFonts w:hint="eastAsia"/>
        </w:rPr>
      </w:pPr>
      <w:r>
        <w:rPr>
          <w:rFonts w:hint="eastAsia"/>
        </w:rPr>
        <w:t>（八）“年”均为周年。</w:t>
      </w:r>
    </w:p>
    <w:p>
      <w:pPr>
        <w:rPr>
          <w:rFonts w:hint="eastAsia"/>
        </w:rPr>
      </w:pPr>
      <w:r>
        <w:rPr>
          <w:rStyle w:val="22"/>
          <w:rFonts w:hint="eastAsia"/>
        </w:rPr>
        <w:t xml:space="preserve">第十五条 </w:t>
      </w:r>
      <w:r>
        <w:rPr>
          <w:rFonts w:hint="eastAsia"/>
        </w:rPr>
        <w:t xml:space="preserve"> 本评价条件由市应急管理局、市人力社保局按职责分工负责解释。</w:t>
      </w:r>
    </w:p>
    <w:p>
      <w:pPr>
        <w:rPr>
          <w:rFonts w:hint="eastAsia"/>
        </w:rPr>
      </w:pPr>
      <w:r>
        <w:rPr>
          <w:rStyle w:val="22"/>
          <w:rFonts w:hint="eastAsia"/>
        </w:rPr>
        <w:t xml:space="preserve">第十六条 </w:t>
      </w:r>
      <w:r>
        <w:rPr>
          <w:rFonts w:hint="eastAsia"/>
        </w:rPr>
        <w:t xml:space="preserve"> 本评价条件自2022年10月8日起施行。</w:t>
      </w:r>
    </w:p>
    <w:p>
      <w:pPr>
        <w:rPr>
          <w:rFonts w:hint="eastAsia"/>
        </w:rPr>
      </w:pPr>
    </w:p>
    <w:p>
      <w:pPr>
        <w:ind w:left="1920" w:leftChars="200" w:hanging="1280" w:hangingChars="400"/>
        <w:rPr>
          <w:rFonts w:hint="eastAsia"/>
        </w:rPr>
      </w:pPr>
      <w:r>
        <w:rPr>
          <w:rFonts w:hint="eastAsia"/>
        </w:rPr>
        <w:t>附表：1.台州市应急救援领域工程师职务任职资格量化赋分标准</w:t>
      </w:r>
    </w:p>
    <w:p>
      <w:pPr>
        <w:ind w:firstLine="1600" w:firstLineChars="500"/>
        <w:rPr>
          <w:rFonts w:hint="eastAsia"/>
        </w:rPr>
        <w:sectPr>
          <w:pgSz w:w="11906" w:h="16838"/>
          <w:pgMar w:top="1701" w:right="1531" w:bottom="1701" w:left="1531" w:header="851" w:footer="992" w:gutter="0"/>
          <w:pgNumType w:fmt="decimal"/>
          <w:cols w:space="0" w:num="1"/>
          <w:rtlGutter w:val="0"/>
          <w:docGrid w:type="lines" w:linePitch="312" w:charSpace="0"/>
        </w:sectPr>
      </w:pPr>
      <w:r>
        <w:rPr>
          <w:rFonts w:hint="eastAsia"/>
        </w:rPr>
        <w:t>2.应急救援分类</w:t>
      </w:r>
    </w:p>
    <w:p>
      <w:pPr>
        <w:bidi w:val="0"/>
        <w:ind w:left="0" w:leftChars="0" w:firstLine="0" w:firstLineChars="0"/>
        <w:rPr>
          <w:rFonts w:hint="eastAsia" w:ascii="黑体" w:hAnsi="黑体" w:eastAsia="黑体" w:cs="黑体"/>
        </w:rPr>
      </w:pPr>
      <w:r>
        <w:rPr>
          <w:rFonts w:hint="eastAsia" w:ascii="黑体" w:hAnsi="黑体" w:eastAsia="黑体" w:cs="黑体"/>
        </w:rPr>
        <w:t>附表1</w:t>
      </w:r>
    </w:p>
    <w:p>
      <w:pPr>
        <w:bidi w:val="0"/>
        <w:rPr>
          <w:rFonts w:hint="eastAsia" w:ascii="黑体" w:hAnsi="黑体" w:eastAsia="黑体" w:cs="黑体"/>
        </w:rPr>
      </w:pPr>
    </w:p>
    <w:p>
      <w:pPr>
        <w:pStyle w:val="5"/>
        <w:bidi w:val="0"/>
        <w:rPr>
          <w:rFonts w:hint="eastAsia"/>
        </w:rPr>
      </w:pPr>
      <w:r>
        <w:rPr>
          <w:rFonts w:hint="eastAsia"/>
        </w:rPr>
        <w:t>台州市应急救援领域工程师职务任职资格量化赋分标准</w:t>
      </w:r>
    </w:p>
    <w:tbl>
      <w:tblPr>
        <w:tblStyle w:val="24"/>
        <w:tblW w:w="13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
        <w:gridCol w:w="1124"/>
        <w:gridCol w:w="1646"/>
        <w:gridCol w:w="2091"/>
        <w:gridCol w:w="1389"/>
        <w:gridCol w:w="1566"/>
        <w:gridCol w:w="834"/>
        <w:gridCol w:w="1686"/>
        <w:gridCol w:w="804"/>
        <w:gridCol w:w="608"/>
        <w:gridCol w:w="521"/>
        <w:gridCol w:w="105"/>
        <w:gridCol w:w="1225"/>
        <w:gridCol w:w="9"/>
        <w:gridCol w:w="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2"/>
          <w:wBefore w:w="5" w:type="dxa"/>
          <w:wAfter w:w="43" w:type="dxa"/>
          <w:trHeight w:val="567" w:hRule="atLeast"/>
          <w:tblHeader/>
          <w:jc w:val="center"/>
        </w:trPr>
        <w:tc>
          <w:tcPr>
            <w:tcW w:w="112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lang w:val="zh-CN" w:bidi="zh-CN"/>
              </w:rPr>
            </w:pPr>
            <w:r>
              <w:rPr>
                <w:rFonts w:hint="eastAsia" w:ascii="仿宋_GB2312" w:hAnsi="仿宋_GB2312" w:eastAsia="仿宋_GB2312" w:cs="仿宋_GB2312"/>
                <w:b/>
                <w:bCs/>
                <w:snapToGrid w:val="0"/>
                <w:color w:val="000000"/>
                <w:kern w:val="0"/>
                <w:sz w:val="24"/>
                <w:szCs w:val="24"/>
                <w:lang w:val="zh-CN" w:bidi="zh-CN"/>
              </w:rPr>
              <w:t>评价指标</w:t>
            </w:r>
          </w:p>
        </w:tc>
        <w:tc>
          <w:tcPr>
            <w:tcW w:w="164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lang w:val="zh-CN" w:bidi="zh-CN"/>
              </w:rPr>
            </w:pPr>
            <w:r>
              <w:rPr>
                <w:rFonts w:hint="eastAsia" w:ascii="仿宋_GB2312" w:hAnsi="仿宋_GB2312" w:eastAsia="仿宋_GB2312" w:cs="仿宋_GB2312"/>
                <w:b/>
                <w:bCs/>
                <w:snapToGrid w:val="0"/>
                <w:color w:val="000000"/>
                <w:kern w:val="0"/>
                <w:sz w:val="24"/>
                <w:szCs w:val="24"/>
                <w:lang w:val="zh-CN" w:bidi="zh-CN"/>
              </w:rPr>
              <w:t>一级指标</w:t>
            </w:r>
          </w:p>
        </w:tc>
        <w:tc>
          <w:tcPr>
            <w:tcW w:w="209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lang w:val="zh-CN" w:bidi="zh-CN"/>
              </w:rPr>
            </w:pPr>
            <w:r>
              <w:rPr>
                <w:rFonts w:hint="eastAsia" w:ascii="仿宋_GB2312" w:hAnsi="仿宋_GB2312" w:eastAsia="仿宋_GB2312" w:cs="仿宋_GB2312"/>
                <w:b/>
                <w:bCs/>
                <w:snapToGrid w:val="0"/>
                <w:color w:val="000000"/>
                <w:kern w:val="0"/>
                <w:sz w:val="24"/>
                <w:szCs w:val="24"/>
                <w:lang w:val="zh-CN" w:bidi="zh-CN"/>
              </w:rPr>
              <w:t>二级指标</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lang w:val="zh-CN" w:bidi="zh-CN"/>
              </w:rPr>
            </w:pPr>
            <w:r>
              <w:rPr>
                <w:rFonts w:hint="eastAsia" w:ascii="仿宋_GB2312" w:hAnsi="仿宋_GB2312" w:eastAsia="仿宋_GB2312" w:cs="仿宋_GB2312"/>
                <w:b/>
                <w:bCs/>
                <w:snapToGrid w:val="0"/>
                <w:color w:val="000000"/>
                <w:kern w:val="0"/>
                <w:sz w:val="24"/>
                <w:szCs w:val="24"/>
                <w:lang w:val="zh-CN" w:bidi="zh-CN"/>
              </w:rPr>
              <w:t>三级指标</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lang w:val="zh-CN" w:bidi="zh-CN"/>
              </w:rPr>
            </w:pPr>
            <w:r>
              <w:rPr>
                <w:rFonts w:hint="eastAsia" w:ascii="仿宋_GB2312" w:hAnsi="仿宋_GB2312" w:eastAsia="仿宋_GB2312" w:cs="仿宋_GB2312"/>
                <w:b/>
                <w:bCs/>
                <w:snapToGrid w:val="0"/>
                <w:color w:val="000000"/>
                <w:kern w:val="0"/>
                <w:sz w:val="24"/>
                <w:szCs w:val="24"/>
                <w:lang w:val="zh-CN" w:bidi="zh-CN"/>
              </w:rPr>
              <w:t>四级指标</w:t>
            </w:r>
          </w:p>
        </w:tc>
        <w:tc>
          <w:tcPr>
            <w:tcW w:w="83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lang w:val="zh-CN" w:bidi="zh-CN"/>
              </w:rPr>
            </w:pPr>
            <w:r>
              <w:rPr>
                <w:rFonts w:hint="eastAsia" w:ascii="仿宋_GB2312" w:hAnsi="仿宋_GB2312" w:eastAsia="仿宋_GB2312" w:cs="仿宋_GB2312"/>
                <w:b/>
                <w:bCs/>
                <w:snapToGrid w:val="0"/>
                <w:color w:val="000000"/>
                <w:kern w:val="0"/>
                <w:sz w:val="24"/>
                <w:szCs w:val="24"/>
                <w:lang w:val="zh-CN" w:bidi="zh-CN"/>
              </w:rPr>
              <w:t>最高</w:t>
            </w:r>
          </w:p>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lang w:val="zh-CN" w:bidi="zh-CN"/>
              </w:rPr>
            </w:pPr>
            <w:r>
              <w:rPr>
                <w:rFonts w:hint="eastAsia" w:ascii="仿宋_GB2312" w:hAnsi="仿宋_GB2312" w:eastAsia="仿宋_GB2312" w:cs="仿宋_GB2312"/>
                <w:b/>
                <w:bCs/>
                <w:snapToGrid w:val="0"/>
                <w:color w:val="000000"/>
                <w:kern w:val="0"/>
                <w:sz w:val="24"/>
                <w:szCs w:val="24"/>
                <w:lang w:val="zh-CN" w:bidi="zh-CN"/>
              </w:rPr>
              <w:t>分值</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lang w:val="zh-CN" w:bidi="zh-CN"/>
              </w:rPr>
            </w:pPr>
            <w:r>
              <w:rPr>
                <w:rFonts w:hint="eastAsia" w:ascii="仿宋_GB2312" w:hAnsi="仿宋_GB2312" w:eastAsia="仿宋_GB2312" w:cs="仿宋_GB2312"/>
                <w:b/>
                <w:bCs/>
                <w:snapToGrid w:val="0"/>
                <w:color w:val="000000"/>
                <w:kern w:val="0"/>
                <w:sz w:val="24"/>
                <w:szCs w:val="24"/>
                <w:lang w:val="zh-CN" w:bidi="zh-CN"/>
              </w:rPr>
              <w:t>赋分说明</w:t>
            </w:r>
          </w:p>
        </w:tc>
        <w:tc>
          <w:tcPr>
            <w:tcW w:w="3263" w:type="dxa"/>
            <w:gridSpan w:val="5"/>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lang w:val="zh-CN" w:bidi="zh-CN"/>
              </w:rPr>
            </w:pPr>
            <w:r>
              <w:rPr>
                <w:rFonts w:hint="eastAsia" w:ascii="仿宋_GB2312" w:hAnsi="仿宋_GB2312" w:eastAsia="仿宋_GB2312" w:cs="仿宋_GB2312"/>
                <w:b/>
                <w:bCs/>
                <w:snapToGrid w:val="0"/>
                <w:color w:val="000000"/>
                <w:kern w:val="0"/>
                <w:sz w:val="24"/>
                <w:szCs w:val="24"/>
                <w:lang w:val="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2"/>
          <w:wBefore w:w="5" w:type="dxa"/>
          <w:wAfter w:w="43" w:type="dxa"/>
          <w:trHeight w:val="567" w:hRule="atLeast"/>
          <w:jc w:val="center"/>
        </w:trPr>
        <w:tc>
          <w:tcPr>
            <w:tcW w:w="112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职业道德(1</w:t>
            </w:r>
            <w:r>
              <w:rPr>
                <w:rFonts w:hint="eastAsia" w:ascii="仿宋_GB2312" w:hAnsi="仿宋_GB2312" w:eastAsia="仿宋_GB2312" w:cs="仿宋_GB2312"/>
                <w:snapToGrid w:val="0"/>
                <w:color w:val="000000"/>
                <w:kern w:val="0"/>
                <w:sz w:val="24"/>
                <w:szCs w:val="24"/>
                <w:lang w:val="en-US" w:eastAsia="zh-CN" w:bidi="zh-CN"/>
              </w:rPr>
              <w:t>0</w:t>
            </w:r>
            <w:r>
              <w:rPr>
                <w:rFonts w:hint="eastAsia" w:ascii="仿宋_GB2312" w:hAnsi="仿宋_GB2312" w:eastAsia="仿宋_GB2312" w:cs="仿宋_GB2312"/>
                <w:snapToGrid w:val="0"/>
                <w:color w:val="000000"/>
                <w:kern w:val="0"/>
                <w:sz w:val="24"/>
                <w:szCs w:val="24"/>
                <w:lang w:val="zh-CN" w:bidi="zh-CN"/>
              </w:rPr>
              <w:t>分)</w:t>
            </w:r>
          </w:p>
        </w:tc>
        <w:tc>
          <w:tcPr>
            <w:tcW w:w="164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爱岗敬业</w:t>
            </w:r>
          </w:p>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w:t>
            </w:r>
            <w:r>
              <w:rPr>
                <w:rFonts w:hint="eastAsia" w:ascii="仿宋_GB2312" w:hAnsi="仿宋_GB2312" w:eastAsia="仿宋_GB2312" w:cs="仿宋_GB2312"/>
                <w:snapToGrid w:val="0"/>
                <w:color w:val="000000"/>
                <w:kern w:val="0"/>
                <w:sz w:val="24"/>
                <w:szCs w:val="24"/>
                <w:lang w:val="en-US" w:eastAsia="zh-CN" w:bidi="zh-CN"/>
              </w:rPr>
              <w:t>7</w:t>
            </w:r>
            <w:r>
              <w:rPr>
                <w:rFonts w:hint="eastAsia" w:ascii="仿宋_GB2312" w:hAnsi="仿宋_GB2312" w:eastAsia="仿宋_GB2312" w:cs="仿宋_GB2312"/>
                <w:snapToGrid w:val="0"/>
                <w:color w:val="000000"/>
                <w:kern w:val="0"/>
                <w:sz w:val="24"/>
                <w:szCs w:val="24"/>
                <w:lang w:val="zh-CN" w:bidi="zh-CN"/>
              </w:rPr>
              <w:t>分)</w:t>
            </w:r>
          </w:p>
        </w:tc>
        <w:tc>
          <w:tcPr>
            <w:tcW w:w="209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劳模、五一劳动奖章、先进工作者、优秀共产党员、行业部门表彰等荣誉称号</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bidi="zh-CN"/>
              </w:rPr>
              <w:t>省(部)级</w:t>
            </w:r>
            <w:r>
              <w:rPr>
                <w:rFonts w:hint="eastAsia" w:ascii="仿宋_GB2312" w:hAnsi="仿宋_GB2312" w:eastAsia="仿宋_GB2312" w:cs="仿宋_GB2312"/>
                <w:snapToGrid w:val="0"/>
                <w:color w:val="000000"/>
                <w:kern w:val="0"/>
                <w:sz w:val="24"/>
                <w:szCs w:val="24"/>
                <w:lang w:val="zh-CN" w:eastAsia="zh-CN" w:bidi="zh-CN"/>
              </w:rPr>
              <w:t>及以上</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en-US" w:eastAsia="zh-CN" w:bidi="zh-CN"/>
              </w:rPr>
              <w:t>5</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en-US" w:eastAsia="zh-CN" w:bidi="zh-CN"/>
              </w:rPr>
              <w:t>5</w:t>
            </w:r>
            <w:r>
              <w:rPr>
                <w:rFonts w:hint="eastAsia" w:ascii="仿宋_GB2312" w:hAnsi="仿宋_GB2312" w:eastAsia="仿宋_GB2312" w:cs="仿宋_GB2312"/>
                <w:snapToGrid w:val="0"/>
                <w:color w:val="000000"/>
                <w:kern w:val="0"/>
                <w:sz w:val="24"/>
                <w:szCs w:val="24"/>
                <w:lang w:val="zh-CN" w:bidi="zh-CN"/>
              </w:rPr>
              <w:t>n</w:t>
            </w:r>
          </w:p>
        </w:tc>
        <w:tc>
          <w:tcPr>
            <w:tcW w:w="3263" w:type="dxa"/>
            <w:gridSpan w:val="5"/>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n为专家认定的奖项个数。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2"/>
          <w:wBefore w:w="5" w:type="dxa"/>
          <w:wAfter w:w="43" w:type="dxa"/>
          <w:trHeight w:val="567" w:hRule="atLeast"/>
          <w:jc w:val="center"/>
        </w:trPr>
        <w:tc>
          <w:tcPr>
            <w:tcW w:w="112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市(厅)级</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3n</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2"/>
          <w:wBefore w:w="5" w:type="dxa"/>
          <w:wAfter w:w="43" w:type="dxa"/>
          <w:trHeight w:val="567" w:hRule="atLeast"/>
          <w:jc w:val="center"/>
        </w:trPr>
        <w:tc>
          <w:tcPr>
            <w:tcW w:w="112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en-US" w:eastAsia="zh-CN" w:bidi="zh-CN"/>
              </w:rPr>
              <w:t>县（局）级</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en-US" w:eastAsia="zh-CN" w:bidi="zh-CN"/>
              </w:rPr>
              <w:t>1n</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2"/>
          <w:wBefore w:w="5" w:type="dxa"/>
          <w:wAfter w:w="43" w:type="dxa"/>
          <w:trHeight w:val="567" w:hRule="atLeast"/>
          <w:jc w:val="center"/>
        </w:trPr>
        <w:tc>
          <w:tcPr>
            <w:tcW w:w="112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在抢险救灾等维护国家利益、公共利益活动中受到伤害</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en-US" w:eastAsia="zh-CN" w:bidi="zh-CN"/>
              </w:rPr>
              <w:t>2</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en-US" w:eastAsia="zh-CN" w:bidi="zh-CN"/>
              </w:rPr>
              <w:t>2</w:t>
            </w:r>
          </w:p>
        </w:tc>
        <w:tc>
          <w:tcPr>
            <w:tcW w:w="3263" w:type="dxa"/>
            <w:gridSpan w:val="5"/>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根据工伤认定证明为准。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2"/>
          <w:wBefore w:w="5" w:type="dxa"/>
          <w:wAfter w:w="43" w:type="dxa"/>
          <w:trHeight w:val="567" w:hRule="atLeast"/>
          <w:jc w:val="center"/>
        </w:trPr>
        <w:tc>
          <w:tcPr>
            <w:tcW w:w="112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年度考核</w:t>
            </w:r>
          </w:p>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(3分)</w:t>
            </w:r>
          </w:p>
        </w:tc>
        <w:tc>
          <w:tcPr>
            <w:tcW w:w="209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近三年年度考核为优秀等次</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3</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en-US" w:eastAsia="zh-CN" w:bidi="zh-CN"/>
              </w:rPr>
              <w:t>1</w:t>
            </w:r>
            <w:r>
              <w:rPr>
                <w:rFonts w:hint="eastAsia" w:ascii="仿宋_GB2312" w:hAnsi="仿宋_GB2312" w:eastAsia="仿宋_GB2312" w:cs="仿宋_GB2312"/>
                <w:snapToGrid w:val="0"/>
                <w:color w:val="000000"/>
                <w:kern w:val="0"/>
                <w:sz w:val="24"/>
                <w:szCs w:val="24"/>
                <w:lang w:val="zh-CN" w:bidi="zh-CN"/>
              </w:rPr>
              <w:t>n</w:t>
            </w:r>
          </w:p>
        </w:tc>
        <w:tc>
          <w:tcPr>
            <w:tcW w:w="3263" w:type="dxa"/>
            <w:gridSpan w:val="5"/>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n为年份。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专业技术经历和水平(</w:t>
            </w:r>
            <w:r>
              <w:rPr>
                <w:rFonts w:hint="eastAsia" w:ascii="仿宋_GB2312" w:hAnsi="仿宋_GB2312" w:eastAsia="仿宋_GB2312" w:cs="仿宋_GB2312"/>
                <w:snapToGrid w:val="0"/>
                <w:color w:val="000000"/>
                <w:kern w:val="0"/>
                <w:sz w:val="24"/>
                <w:szCs w:val="24"/>
                <w:lang w:val="en-US" w:eastAsia="zh-CN" w:bidi="zh-CN"/>
              </w:rPr>
              <w:t>40</w:t>
            </w:r>
            <w:r>
              <w:rPr>
                <w:rFonts w:hint="eastAsia" w:ascii="仿宋_GB2312" w:hAnsi="仿宋_GB2312" w:eastAsia="仿宋_GB2312" w:cs="仿宋_GB2312"/>
                <w:snapToGrid w:val="0"/>
                <w:color w:val="000000"/>
                <w:kern w:val="0"/>
                <w:sz w:val="24"/>
                <w:szCs w:val="24"/>
                <w:lang w:val="zh-CN" w:bidi="zh-CN"/>
              </w:rPr>
              <w:t>分)</w:t>
            </w:r>
          </w:p>
        </w:tc>
        <w:tc>
          <w:tcPr>
            <w:tcW w:w="164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专业学习经历(</w:t>
            </w:r>
            <w:r>
              <w:rPr>
                <w:rFonts w:hint="eastAsia" w:ascii="仿宋_GB2312" w:hAnsi="仿宋_GB2312" w:eastAsia="仿宋_GB2312" w:cs="仿宋_GB2312"/>
                <w:snapToGrid w:val="0"/>
                <w:color w:val="000000"/>
                <w:kern w:val="0"/>
                <w:sz w:val="24"/>
                <w:szCs w:val="24"/>
                <w:lang w:val="en-US" w:eastAsia="zh-CN" w:bidi="zh-CN"/>
              </w:rPr>
              <w:t>7</w:t>
            </w:r>
            <w:r>
              <w:rPr>
                <w:rFonts w:hint="eastAsia" w:ascii="仿宋_GB2312" w:hAnsi="仿宋_GB2312" w:eastAsia="仿宋_GB2312" w:cs="仿宋_GB2312"/>
                <w:snapToGrid w:val="0"/>
                <w:color w:val="000000"/>
                <w:kern w:val="0"/>
                <w:sz w:val="24"/>
                <w:szCs w:val="24"/>
                <w:lang w:val="zh-CN" w:bidi="zh-CN"/>
              </w:rPr>
              <w:t>分)</w:t>
            </w:r>
          </w:p>
        </w:tc>
        <w:tc>
          <w:tcPr>
            <w:tcW w:w="209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硕士研究生</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en-US" w:eastAsia="zh-CN" w:bidi="zh-CN"/>
              </w:rPr>
              <w:t>7</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7</w:t>
            </w:r>
          </w:p>
        </w:tc>
        <w:tc>
          <w:tcPr>
            <w:tcW w:w="3263" w:type="dxa"/>
            <w:gridSpan w:val="5"/>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取得的学历、学位按最高项计分</w:t>
            </w: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zh-CN" w:bidi="zh-CN"/>
              </w:rPr>
              <w:t>双学士、工程硕士学位以教育部门认定为准。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双学士或工程硕士</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6</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非全日制学士或工程硕士</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4</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专科</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3</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专业工作经历</w:t>
            </w:r>
          </w:p>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(10分)</w:t>
            </w:r>
          </w:p>
        </w:tc>
        <w:tc>
          <w:tcPr>
            <w:tcW w:w="209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从事应急救援领域工作年限</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10</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n</w:t>
            </w:r>
          </w:p>
        </w:tc>
        <w:tc>
          <w:tcPr>
            <w:tcW w:w="3263" w:type="dxa"/>
            <w:gridSpan w:val="5"/>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n为年份。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62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bidi="zh-CN"/>
              </w:rPr>
              <w:t>外语和计算机能力（2分）</w:t>
            </w:r>
          </w:p>
        </w:tc>
        <w:tc>
          <w:tcPr>
            <w:tcW w:w="209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取得职称外语类别C级及以上证书</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0.5</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0.5</w:t>
            </w:r>
          </w:p>
        </w:tc>
        <w:tc>
          <w:tcPr>
            <w:tcW w:w="3263" w:type="dxa"/>
            <w:gridSpan w:val="5"/>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62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取得《全国专业技术人员计算机应用能力考试合格证》</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1.5</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1.5</w:t>
            </w:r>
          </w:p>
        </w:tc>
        <w:tc>
          <w:tcPr>
            <w:tcW w:w="3263" w:type="dxa"/>
            <w:gridSpan w:val="5"/>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62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知识</w:t>
            </w:r>
          </w:p>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更新情况</w:t>
            </w:r>
          </w:p>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bidi="zh-CN"/>
              </w:rPr>
              <w:t>（8分）</w:t>
            </w:r>
          </w:p>
        </w:tc>
        <w:tc>
          <w:tcPr>
            <w:tcW w:w="209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bidi="zh-CN"/>
              </w:rPr>
              <w:t>继续教育</w:t>
            </w:r>
          </w:p>
        </w:tc>
        <w:tc>
          <w:tcPr>
            <w:tcW w:w="13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bidi="zh-CN"/>
              </w:rPr>
              <w:t>学时登记</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90学时以上</w:t>
            </w:r>
          </w:p>
        </w:tc>
        <w:tc>
          <w:tcPr>
            <w:tcW w:w="83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en-US" w:eastAsia="zh-CN" w:bidi="zh-CN"/>
              </w:rPr>
              <w:t>8</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8</w:t>
            </w:r>
          </w:p>
        </w:tc>
        <w:tc>
          <w:tcPr>
            <w:tcW w:w="3263" w:type="dxa"/>
            <w:gridSpan w:val="5"/>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近3年继续教育年均学时，单位内部培训学时最高折算为20学时。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62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60-90学时</w:t>
            </w: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6</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62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40-60学时</w:t>
            </w: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4</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62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27-40学时</w:t>
            </w: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2</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62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资格证书</w:t>
            </w:r>
          </w:p>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（3分）</w:t>
            </w:r>
          </w:p>
        </w:tc>
        <w:tc>
          <w:tcPr>
            <w:tcW w:w="209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eastAsia="zh-CN" w:bidi="zh-CN"/>
              </w:rPr>
              <w:t>助理工程师</w:t>
            </w:r>
            <w:r>
              <w:rPr>
                <w:rFonts w:hint="eastAsia" w:ascii="仿宋_GB2312" w:hAnsi="仿宋_GB2312" w:eastAsia="仿宋_GB2312" w:cs="仿宋_GB2312"/>
                <w:snapToGrid w:val="0"/>
                <w:color w:val="000000"/>
                <w:kern w:val="0"/>
                <w:sz w:val="24"/>
                <w:szCs w:val="24"/>
                <w:lang w:val="zh-CN" w:bidi="zh-CN"/>
              </w:rPr>
              <w:t>资格证书</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3</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3</w:t>
            </w:r>
          </w:p>
        </w:tc>
        <w:tc>
          <w:tcPr>
            <w:tcW w:w="3263" w:type="dxa"/>
            <w:gridSpan w:val="5"/>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应在申报单位注册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62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行业影响力(1</w:t>
            </w:r>
            <w:r>
              <w:rPr>
                <w:rFonts w:hint="eastAsia" w:ascii="仿宋_GB2312" w:hAnsi="仿宋_GB2312" w:eastAsia="仿宋_GB2312" w:cs="仿宋_GB2312"/>
                <w:snapToGrid w:val="0"/>
                <w:color w:val="000000"/>
                <w:kern w:val="0"/>
                <w:sz w:val="24"/>
                <w:szCs w:val="24"/>
                <w:lang w:val="en-US" w:eastAsia="zh-CN" w:bidi="zh-CN"/>
              </w:rPr>
              <w:t>0</w:t>
            </w:r>
            <w:r>
              <w:rPr>
                <w:rFonts w:hint="eastAsia" w:ascii="仿宋_GB2312" w:hAnsi="仿宋_GB2312" w:eastAsia="仿宋_GB2312" w:cs="仿宋_GB2312"/>
                <w:snapToGrid w:val="0"/>
                <w:color w:val="000000"/>
                <w:kern w:val="0"/>
                <w:sz w:val="24"/>
                <w:szCs w:val="24"/>
                <w:lang w:val="zh-CN" w:bidi="zh-CN"/>
              </w:rPr>
              <w:t>分)</w:t>
            </w:r>
          </w:p>
        </w:tc>
        <w:tc>
          <w:tcPr>
            <w:tcW w:w="209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应急管理专家库成员</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bidi="zh-CN"/>
              </w:rPr>
              <w:t>省级</w:t>
            </w:r>
            <w:r>
              <w:rPr>
                <w:rFonts w:hint="eastAsia" w:ascii="仿宋_GB2312" w:hAnsi="仿宋_GB2312" w:eastAsia="仿宋_GB2312" w:cs="仿宋_GB2312"/>
                <w:snapToGrid w:val="0"/>
                <w:color w:val="000000"/>
                <w:kern w:val="0"/>
                <w:sz w:val="24"/>
                <w:szCs w:val="24"/>
                <w:lang w:val="zh-CN" w:eastAsia="zh-CN" w:bidi="zh-CN"/>
              </w:rPr>
              <w:t>及以上</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5</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5n</w:t>
            </w:r>
          </w:p>
        </w:tc>
        <w:tc>
          <w:tcPr>
            <w:tcW w:w="3263" w:type="dxa"/>
            <w:gridSpan w:val="5"/>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按最高层级计一次，同一层次可累计，n为数量。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62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市级</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4n</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62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县级</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2n</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参加社会团体</w:t>
            </w:r>
          </w:p>
        </w:tc>
        <w:tc>
          <w:tcPr>
            <w:tcW w:w="13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bidi="zh-CN"/>
              </w:rPr>
              <w:t>省级</w:t>
            </w:r>
            <w:r>
              <w:rPr>
                <w:rFonts w:hint="eastAsia" w:ascii="仿宋_GB2312" w:hAnsi="仿宋_GB2312" w:eastAsia="仿宋_GB2312" w:cs="仿宋_GB2312"/>
                <w:snapToGrid w:val="0"/>
                <w:color w:val="000000"/>
                <w:kern w:val="0"/>
                <w:sz w:val="24"/>
                <w:szCs w:val="24"/>
                <w:lang w:val="zh-CN" w:eastAsia="zh-CN" w:bidi="zh-CN"/>
              </w:rPr>
              <w:t>及以上</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主要负责人</w:t>
            </w:r>
          </w:p>
        </w:tc>
        <w:tc>
          <w:tcPr>
            <w:tcW w:w="83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5</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3263" w:type="dxa"/>
            <w:gridSpan w:val="5"/>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主要是指合法登记的与应急救援等专业相关的具有学术性质的社会团体或社会组织，不包括纯商业性质的商会、行业协会等</w:t>
            </w: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zh-CN" w:bidi="zh-CN"/>
              </w:rPr>
              <w:t>2.按参与的最高层级的社会团体计一次，不累计</w:t>
            </w: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zh-CN" w:bidi="zh-CN"/>
              </w:rPr>
              <w:t>3.社会团体主要负责人指担任常务理事以上职务。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理事或委员</w:t>
            </w:r>
          </w:p>
        </w:tc>
        <w:tc>
          <w:tcPr>
            <w:tcW w:w="83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3</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地市级</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主要负责人</w:t>
            </w:r>
          </w:p>
        </w:tc>
        <w:tc>
          <w:tcPr>
            <w:tcW w:w="83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4</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理事或委员</w:t>
            </w:r>
          </w:p>
        </w:tc>
        <w:tc>
          <w:tcPr>
            <w:tcW w:w="83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2</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eastAsia="zh-CN" w:bidi="zh-CN"/>
              </w:rPr>
              <w:t>区县级</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主要负责人</w:t>
            </w:r>
          </w:p>
        </w:tc>
        <w:tc>
          <w:tcPr>
            <w:tcW w:w="83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2</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理事或委员</w:t>
            </w:r>
          </w:p>
        </w:tc>
        <w:tc>
          <w:tcPr>
            <w:tcW w:w="83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1</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成果</w:t>
            </w:r>
          </w:p>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和业绩(</w:t>
            </w:r>
            <w:r>
              <w:rPr>
                <w:rFonts w:hint="eastAsia" w:ascii="仿宋_GB2312" w:hAnsi="仿宋_GB2312" w:eastAsia="仿宋_GB2312" w:cs="仿宋_GB2312"/>
                <w:snapToGrid w:val="0"/>
                <w:color w:val="000000"/>
                <w:kern w:val="0"/>
                <w:sz w:val="24"/>
                <w:szCs w:val="24"/>
                <w:lang w:val="en-US" w:eastAsia="zh-CN" w:bidi="zh-CN"/>
              </w:rPr>
              <w:t>5</w:t>
            </w:r>
            <w:r>
              <w:rPr>
                <w:rFonts w:hint="eastAsia" w:ascii="仿宋_GB2312" w:hAnsi="仿宋_GB2312" w:eastAsia="仿宋_GB2312" w:cs="仿宋_GB2312"/>
                <w:snapToGrid w:val="0"/>
                <w:color w:val="000000"/>
                <w:kern w:val="0"/>
                <w:sz w:val="24"/>
                <w:szCs w:val="24"/>
                <w:lang w:val="zh-CN" w:bidi="zh-CN"/>
              </w:rPr>
              <w:t>0分)</w:t>
            </w:r>
          </w:p>
        </w:tc>
        <w:tc>
          <w:tcPr>
            <w:tcW w:w="164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岗位业绩(</w:t>
            </w:r>
            <w:r>
              <w:rPr>
                <w:rFonts w:hint="eastAsia" w:ascii="仿宋_GB2312" w:hAnsi="仿宋_GB2312" w:eastAsia="仿宋_GB2312" w:cs="仿宋_GB2312"/>
                <w:snapToGrid w:val="0"/>
                <w:color w:val="000000"/>
                <w:kern w:val="0"/>
                <w:sz w:val="24"/>
                <w:szCs w:val="24"/>
                <w:lang w:val="en-US" w:eastAsia="zh-CN" w:bidi="zh-CN"/>
              </w:rPr>
              <w:t>30</w:t>
            </w:r>
            <w:r>
              <w:rPr>
                <w:rFonts w:hint="eastAsia" w:ascii="仿宋_GB2312" w:hAnsi="仿宋_GB2312" w:eastAsia="仿宋_GB2312" w:cs="仿宋_GB2312"/>
                <w:snapToGrid w:val="0"/>
                <w:color w:val="000000"/>
                <w:kern w:val="0"/>
                <w:sz w:val="24"/>
                <w:szCs w:val="24"/>
                <w:lang w:val="zh-CN" w:bidi="zh-CN"/>
              </w:rPr>
              <w:t>分，评分时选取1项二级指标进行打分，选定后其他二级指标空项)</w:t>
            </w:r>
          </w:p>
        </w:tc>
        <w:tc>
          <w:tcPr>
            <w:tcW w:w="209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应急救援</w:t>
            </w:r>
          </w:p>
        </w:tc>
        <w:tc>
          <w:tcPr>
            <w:tcW w:w="13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bidi="zh-CN"/>
              </w:rPr>
              <w:t>作为应急救援队伍</w:t>
            </w:r>
            <w:r>
              <w:rPr>
                <w:rFonts w:hint="eastAsia" w:ascii="仿宋_GB2312" w:hAnsi="仿宋_GB2312" w:eastAsia="仿宋_GB2312" w:cs="仿宋_GB2312"/>
                <w:snapToGrid w:val="0"/>
                <w:color w:val="000000"/>
                <w:kern w:val="0"/>
                <w:sz w:val="24"/>
                <w:szCs w:val="24"/>
                <w:lang w:val="zh-CN" w:eastAsia="zh-CN" w:bidi="zh-CN"/>
              </w:rPr>
              <w:t>专业</w:t>
            </w:r>
            <w:r>
              <w:rPr>
                <w:rFonts w:hint="eastAsia" w:ascii="仿宋_GB2312" w:hAnsi="仿宋_GB2312" w:eastAsia="仿宋_GB2312" w:cs="仿宋_GB2312"/>
                <w:snapToGrid w:val="0"/>
                <w:color w:val="000000"/>
                <w:kern w:val="0"/>
                <w:sz w:val="24"/>
                <w:szCs w:val="24"/>
                <w:lang w:val="zh-CN" w:bidi="zh-CN"/>
              </w:rPr>
              <w:t>技术</w:t>
            </w:r>
            <w:r>
              <w:rPr>
                <w:rFonts w:hint="eastAsia" w:ascii="仿宋_GB2312" w:hAnsi="仿宋_GB2312" w:eastAsia="仿宋_GB2312" w:cs="仿宋_GB2312"/>
                <w:snapToGrid w:val="0"/>
                <w:color w:val="000000"/>
                <w:kern w:val="0"/>
                <w:sz w:val="24"/>
                <w:szCs w:val="24"/>
                <w:lang w:val="zh-CN" w:eastAsia="zh-CN" w:bidi="zh-CN"/>
              </w:rPr>
              <w:t>人员参与</w:t>
            </w:r>
            <w:r>
              <w:rPr>
                <w:rFonts w:hint="eastAsia" w:ascii="仿宋_GB2312" w:hAnsi="仿宋_GB2312" w:eastAsia="仿宋_GB2312" w:cs="仿宋_GB2312"/>
                <w:snapToGrid w:val="0"/>
                <w:color w:val="000000"/>
                <w:kern w:val="0"/>
                <w:sz w:val="24"/>
                <w:szCs w:val="24"/>
                <w:lang w:val="zh-CN" w:bidi="zh-CN"/>
              </w:rPr>
              <w:t>安全生产类、自然灾害类突发事件</w:t>
            </w:r>
            <w:r>
              <w:rPr>
                <w:rFonts w:hint="eastAsia" w:ascii="仿宋_GB2312" w:hAnsi="仿宋_GB2312" w:eastAsia="仿宋_GB2312" w:cs="仿宋_GB2312"/>
                <w:snapToGrid w:val="0"/>
                <w:color w:val="000000"/>
                <w:kern w:val="0"/>
                <w:sz w:val="24"/>
                <w:szCs w:val="24"/>
                <w:lang w:val="zh-CN" w:eastAsia="zh-CN" w:bidi="zh-CN"/>
              </w:rPr>
              <w:t>应急处置</w:t>
            </w:r>
          </w:p>
        </w:tc>
        <w:tc>
          <w:tcPr>
            <w:tcW w:w="156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eastAsia="zh-CN" w:bidi="zh-CN"/>
              </w:rPr>
              <w:t>参与</w:t>
            </w:r>
            <w:r>
              <w:rPr>
                <w:rFonts w:hint="eastAsia" w:ascii="仿宋_GB2312" w:hAnsi="仿宋_GB2312" w:eastAsia="仿宋_GB2312" w:cs="仿宋_GB2312"/>
                <w:snapToGrid w:val="0"/>
                <w:color w:val="000000"/>
                <w:kern w:val="0"/>
                <w:sz w:val="24"/>
                <w:szCs w:val="24"/>
                <w:lang w:val="zh-CN" w:bidi="zh-CN"/>
              </w:rPr>
              <w:t>完成安全生产类、自然灾害类突发事件应急处置</w:t>
            </w:r>
            <w:r>
              <w:rPr>
                <w:rFonts w:hint="eastAsia" w:ascii="仿宋_GB2312" w:hAnsi="仿宋_GB2312" w:eastAsia="仿宋_GB2312" w:cs="仿宋_GB2312"/>
                <w:snapToGrid w:val="0"/>
                <w:color w:val="000000"/>
                <w:kern w:val="0"/>
                <w:sz w:val="24"/>
                <w:szCs w:val="24"/>
                <w:lang w:val="en-US" w:eastAsia="zh-CN" w:bidi="zh-CN"/>
              </w:rPr>
              <w:t>8</w:t>
            </w:r>
            <w:r>
              <w:rPr>
                <w:rFonts w:hint="eastAsia" w:ascii="仿宋_GB2312" w:hAnsi="仿宋_GB2312" w:eastAsia="仿宋_GB2312" w:cs="仿宋_GB2312"/>
                <w:snapToGrid w:val="0"/>
                <w:color w:val="000000"/>
                <w:kern w:val="0"/>
                <w:sz w:val="24"/>
                <w:szCs w:val="24"/>
                <w:lang w:val="zh-CN" w:bidi="zh-CN"/>
              </w:rPr>
              <w:t>次以上(其中较大以上</w:t>
            </w:r>
            <w:r>
              <w:rPr>
                <w:rFonts w:hint="eastAsia" w:ascii="仿宋_GB2312" w:hAnsi="仿宋_GB2312" w:eastAsia="仿宋_GB2312" w:cs="仿宋_GB2312"/>
                <w:snapToGrid w:val="0"/>
                <w:color w:val="000000"/>
                <w:kern w:val="0"/>
                <w:sz w:val="24"/>
                <w:szCs w:val="24"/>
                <w:lang w:val="en-US" w:eastAsia="zh-CN" w:bidi="zh-CN"/>
              </w:rPr>
              <w:t>4</w:t>
            </w:r>
            <w:r>
              <w:rPr>
                <w:rFonts w:hint="eastAsia" w:ascii="仿宋_GB2312" w:hAnsi="仿宋_GB2312" w:eastAsia="仿宋_GB2312" w:cs="仿宋_GB2312"/>
                <w:snapToGrid w:val="0"/>
                <w:color w:val="000000"/>
                <w:kern w:val="0"/>
                <w:sz w:val="24"/>
                <w:szCs w:val="24"/>
                <w:lang w:val="zh-CN" w:bidi="zh-CN"/>
              </w:rPr>
              <w:t>次或重大以上2次)，选择2份作为代表业绩。</w:t>
            </w:r>
          </w:p>
        </w:tc>
        <w:tc>
          <w:tcPr>
            <w:tcW w:w="83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en-US" w:eastAsia="zh-CN" w:bidi="zh-CN"/>
              </w:rPr>
              <w:t>3</w:t>
            </w:r>
            <w:r>
              <w:rPr>
                <w:rFonts w:hint="eastAsia" w:ascii="仿宋_GB2312" w:hAnsi="仿宋_GB2312" w:eastAsia="仿宋_GB2312" w:cs="仿宋_GB2312"/>
                <w:snapToGrid w:val="0"/>
                <w:color w:val="000000"/>
                <w:kern w:val="0"/>
                <w:sz w:val="24"/>
                <w:szCs w:val="24"/>
                <w:lang w:val="zh-CN" w:bidi="zh-CN"/>
              </w:rPr>
              <w:t>0</w:t>
            </w:r>
          </w:p>
        </w:tc>
        <w:tc>
          <w:tcPr>
            <w:tcW w:w="168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m+n</w:t>
            </w:r>
          </w:p>
        </w:tc>
        <w:tc>
          <w:tcPr>
            <w:tcW w:w="3263" w:type="dxa"/>
            <w:gridSpan w:val="5"/>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基本分m最高分值为</w:t>
            </w:r>
            <w:r>
              <w:rPr>
                <w:rFonts w:hint="eastAsia" w:ascii="仿宋_GB2312" w:hAnsi="仿宋_GB2312" w:eastAsia="仿宋_GB2312" w:cs="仿宋_GB2312"/>
                <w:snapToGrid w:val="0"/>
                <w:color w:val="000000"/>
                <w:kern w:val="0"/>
                <w:sz w:val="24"/>
                <w:szCs w:val="24"/>
                <w:lang w:val="en-US" w:eastAsia="zh-CN" w:bidi="zh-CN"/>
              </w:rPr>
              <w:t>2</w:t>
            </w:r>
            <w:r>
              <w:rPr>
                <w:rFonts w:hint="eastAsia" w:ascii="仿宋_GB2312" w:hAnsi="仿宋_GB2312" w:eastAsia="仿宋_GB2312" w:cs="仿宋_GB2312"/>
                <w:snapToGrid w:val="0"/>
                <w:color w:val="000000"/>
                <w:kern w:val="0"/>
                <w:sz w:val="24"/>
                <w:szCs w:val="24"/>
                <w:lang w:val="zh-CN" w:bidi="zh-CN"/>
              </w:rPr>
              <w:t>2,根据业绩贡献大小给与0-</w:t>
            </w:r>
            <w:r>
              <w:rPr>
                <w:rFonts w:hint="eastAsia" w:ascii="仿宋_GB2312" w:hAnsi="仿宋_GB2312" w:eastAsia="仿宋_GB2312" w:cs="仿宋_GB2312"/>
                <w:snapToGrid w:val="0"/>
                <w:color w:val="000000"/>
                <w:kern w:val="0"/>
                <w:sz w:val="24"/>
                <w:szCs w:val="24"/>
                <w:lang w:val="en-US" w:eastAsia="zh-CN" w:bidi="zh-CN"/>
              </w:rPr>
              <w:t>2</w:t>
            </w:r>
            <w:r>
              <w:rPr>
                <w:rFonts w:hint="eastAsia" w:ascii="仿宋_GB2312" w:hAnsi="仿宋_GB2312" w:eastAsia="仿宋_GB2312" w:cs="仿宋_GB2312"/>
                <w:snapToGrid w:val="0"/>
                <w:color w:val="000000"/>
                <w:kern w:val="0"/>
                <w:sz w:val="24"/>
                <w:szCs w:val="24"/>
                <w:lang w:val="zh-CN" w:bidi="zh-CN"/>
              </w:rPr>
              <w:t>2区间分值。附加分n最高分值8分，根据2次代表救援业绩的事故、灾害级别系数相加累计得出。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412"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vertAlign w:val="baseline"/>
                <w:lang w:val="zh-CN" w:eastAsia="zh-CN" w:bidi="zh-CN"/>
              </w:rPr>
              <w:t>级别</w:t>
            </w:r>
          </w:p>
        </w:tc>
        <w:tc>
          <w:tcPr>
            <w:tcW w:w="1851"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vertAlign w:val="baseline"/>
                <w:lang w:val="zh-CN" w:eastAsia="zh-CN" w:bidi="zh-CN"/>
              </w:rPr>
              <w:t>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412"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vertAlign w:val="baseline"/>
                <w:lang w:val="zh-CN" w:eastAsia="zh-CN" w:bidi="zh-CN"/>
              </w:rPr>
              <w:t>特别重大</w:t>
            </w:r>
          </w:p>
        </w:tc>
        <w:tc>
          <w:tcPr>
            <w:tcW w:w="1851"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vertAlign w:val="baseline"/>
                <w:lang w:val="en-US" w:eastAsia="zh-CN" w:bidi="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412"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vertAlign w:val="baseline"/>
                <w:lang w:val="zh-CN" w:eastAsia="zh-CN" w:bidi="zh-CN"/>
              </w:rPr>
              <w:t>重大</w:t>
            </w:r>
          </w:p>
        </w:tc>
        <w:tc>
          <w:tcPr>
            <w:tcW w:w="1851"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vertAlign w:val="baseline"/>
                <w:lang w:val="en-US" w:eastAsia="zh-CN" w:bidi="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412"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vertAlign w:val="baseline"/>
                <w:lang w:val="zh-CN" w:eastAsia="zh-CN" w:bidi="zh-CN"/>
              </w:rPr>
              <w:t>较大</w:t>
            </w:r>
          </w:p>
        </w:tc>
        <w:tc>
          <w:tcPr>
            <w:tcW w:w="1851"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vertAlign w:val="baseline"/>
                <w:lang w:val="en-US" w:eastAsia="zh-CN" w:bidi="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412"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vertAlign w:val="baseline"/>
                <w:lang w:val="zh-CN" w:eastAsia="zh-CN" w:bidi="zh-CN"/>
              </w:rPr>
              <w:t>一般</w:t>
            </w:r>
          </w:p>
        </w:tc>
        <w:tc>
          <w:tcPr>
            <w:tcW w:w="1851"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vertAlign w:val="baseline"/>
                <w:lang w:val="en-US" w:eastAsia="zh-CN" w:bidi="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应急救援培训</w:t>
            </w:r>
          </w:p>
        </w:tc>
        <w:tc>
          <w:tcPr>
            <w:tcW w:w="13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作为应急救援队伍专业技术人员，为社会公众提供应急救援技术培训、指导</w:t>
            </w:r>
          </w:p>
        </w:tc>
        <w:tc>
          <w:tcPr>
            <w:tcW w:w="156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累计授课300课时，选择3份作为代表业绩。</w:t>
            </w: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m+n</w:t>
            </w:r>
          </w:p>
        </w:tc>
        <w:tc>
          <w:tcPr>
            <w:tcW w:w="3263" w:type="dxa"/>
            <w:gridSpan w:val="5"/>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基本分m最高分值为</w:t>
            </w:r>
            <w:r>
              <w:rPr>
                <w:rFonts w:hint="eastAsia" w:ascii="仿宋_GB2312" w:hAnsi="仿宋_GB2312" w:eastAsia="仿宋_GB2312" w:cs="仿宋_GB2312"/>
                <w:snapToGrid w:val="0"/>
                <w:color w:val="000000"/>
                <w:kern w:val="0"/>
                <w:sz w:val="24"/>
                <w:szCs w:val="24"/>
                <w:lang w:val="en-US" w:eastAsia="zh-CN" w:bidi="zh-CN"/>
              </w:rPr>
              <w:t>2</w:t>
            </w:r>
            <w:r>
              <w:rPr>
                <w:rFonts w:hint="eastAsia" w:ascii="仿宋_GB2312" w:hAnsi="仿宋_GB2312" w:eastAsia="仿宋_GB2312" w:cs="仿宋_GB2312"/>
                <w:snapToGrid w:val="0"/>
                <w:color w:val="000000"/>
                <w:kern w:val="0"/>
                <w:sz w:val="24"/>
                <w:szCs w:val="24"/>
                <w:lang w:val="zh-CN" w:bidi="zh-CN"/>
              </w:rPr>
              <w:t>1,根据业绩贡献大小给与0-</w:t>
            </w:r>
            <w:r>
              <w:rPr>
                <w:rFonts w:hint="eastAsia" w:ascii="仿宋_GB2312" w:hAnsi="仿宋_GB2312" w:eastAsia="仿宋_GB2312" w:cs="仿宋_GB2312"/>
                <w:snapToGrid w:val="0"/>
                <w:color w:val="000000"/>
                <w:kern w:val="0"/>
                <w:sz w:val="24"/>
                <w:szCs w:val="24"/>
                <w:lang w:val="en-US" w:eastAsia="zh-CN" w:bidi="zh-CN"/>
              </w:rPr>
              <w:t>2</w:t>
            </w:r>
            <w:r>
              <w:rPr>
                <w:rFonts w:hint="eastAsia" w:ascii="仿宋_GB2312" w:hAnsi="仿宋_GB2312" w:eastAsia="仿宋_GB2312" w:cs="仿宋_GB2312"/>
                <w:snapToGrid w:val="0"/>
                <w:color w:val="000000"/>
                <w:kern w:val="0"/>
                <w:sz w:val="24"/>
                <w:szCs w:val="24"/>
                <w:lang w:val="zh-CN" w:bidi="zh-CN"/>
              </w:rPr>
              <w:t>1区间分值。附加分n最高分值9分，根据3项代表业绩</w:t>
            </w:r>
            <w:r>
              <w:rPr>
                <w:rFonts w:hint="eastAsia" w:ascii="仿宋_GB2312" w:hAnsi="仿宋_GB2312" w:eastAsia="仿宋_GB2312" w:cs="仿宋_GB2312"/>
                <w:snapToGrid w:val="0"/>
                <w:color w:val="000000"/>
                <w:kern w:val="0"/>
                <w:sz w:val="24"/>
                <w:szCs w:val="24"/>
                <w:lang w:val="zh-CN" w:eastAsia="zh-CN" w:bidi="zh-CN"/>
              </w:rPr>
              <w:t>组织</w:t>
            </w:r>
            <w:r>
              <w:rPr>
                <w:rFonts w:hint="eastAsia" w:ascii="仿宋_GB2312" w:hAnsi="仿宋_GB2312" w:eastAsia="仿宋_GB2312" w:cs="仿宋_GB2312"/>
                <w:snapToGrid w:val="0"/>
                <w:color w:val="000000"/>
                <w:kern w:val="0"/>
                <w:sz w:val="24"/>
                <w:szCs w:val="24"/>
                <w:lang w:val="zh-CN" w:bidi="zh-CN"/>
              </w:rPr>
              <w:t>级别系数相加累计得出。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0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要素</w:t>
            </w:r>
          </w:p>
        </w:tc>
        <w:tc>
          <w:tcPr>
            <w:tcW w:w="1129"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级别</w:t>
            </w:r>
          </w:p>
        </w:tc>
        <w:tc>
          <w:tcPr>
            <w:tcW w:w="1373" w:type="dxa"/>
            <w:gridSpan w:val="4"/>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0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组织单位(n)</w:t>
            </w:r>
          </w:p>
        </w:tc>
        <w:tc>
          <w:tcPr>
            <w:tcW w:w="1129"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省级</w:t>
            </w:r>
          </w:p>
        </w:tc>
        <w:tc>
          <w:tcPr>
            <w:tcW w:w="1373" w:type="dxa"/>
            <w:gridSpan w:val="4"/>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0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29"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市级</w:t>
            </w:r>
          </w:p>
        </w:tc>
        <w:tc>
          <w:tcPr>
            <w:tcW w:w="1373" w:type="dxa"/>
            <w:gridSpan w:val="4"/>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0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129"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县级</w:t>
            </w:r>
          </w:p>
        </w:tc>
        <w:tc>
          <w:tcPr>
            <w:tcW w:w="1373" w:type="dxa"/>
            <w:gridSpan w:val="4"/>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应急预案编制</w:t>
            </w:r>
          </w:p>
        </w:tc>
        <w:tc>
          <w:tcPr>
            <w:tcW w:w="13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eastAsia="zh-CN" w:bidi="zh-CN"/>
              </w:rPr>
              <w:t>参与</w:t>
            </w:r>
            <w:r>
              <w:rPr>
                <w:rFonts w:hint="eastAsia" w:ascii="仿宋_GB2312" w:hAnsi="仿宋_GB2312" w:eastAsia="仿宋_GB2312" w:cs="仿宋_GB2312"/>
                <w:snapToGrid w:val="0"/>
                <w:color w:val="000000"/>
                <w:kern w:val="0"/>
                <w:sz w:val="24"/>
                <w:szCs w:val="24"/>
                <w:lang w:val="zh-CN" w:bidi="zh-CN"/>
              </w:rPr>
              <w:t>完成县级以上总体应急预案或安全生产类、自然灾害类专项应急预案编制</w:t>
            </w:r>
          </w:p>
        </w:tc>
        <w:tc>
          <w:tcPr>
            <w:tcW w:w="156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eastAsia="zh-CN" w:bidi="zh-CN"/>
              </w:rPr>
              <w:t>参与</w:t>
            </w:r>
            <w:r>
              <w:rPr>
                <w:rFonts w:hint="eastAsia" w:ascii="仿宋_GB2312" w:hAnsi="仿宋_GB2312" w:eastAsia="仿宋_GB2312" w:cs="仿宋_GB2312"/>
                <w:snapToGrid w:val="0"/>
                <w:color w:val="000000"/>
                <w:kern w:val="0"/>
                <w:sz w:val="24"/>
                <w:szCs w:val="24"/>
                <w:lang w:val="zh-CN" w:bidi="zh-CN"/>
              </w:rPr>
              <w:t>完成</w:t>
            </w:r>
            <w:r>
              <w:rPr>
                <w:rFonts w:hint="eastAsia" w:ascii="仿宋_GB2312" w:hAnsi="仿宋_GB2312" w:eastAsia="仿宋_GB2312" w:cs="仿宋_GB2312"/>
                <w:snapToGrid w:val="0"/>
                <w:color w:val="000000"/>
                <w:kern w:val="0"/>
                <w:sz w:val="24"/>
                <w:szCs w:val="24"/>
                <w:lang w:val="en-US" w:eastAsia="zh-CN" w:bidi="zh-CN"/>
              </w:rPr>
              <w:t>5</w:t>
            </w:r>
            <w:r>
              <w:rPr>
                <w:rFonts w:hint="eastAsia" w:ascii="仿宋_GB2312" w:hAnsi="仿宋_GB2312" w:eastAsia="仿宋_GB2312" w:cs="仿宋_GB2312"/>
                <w:snapToGrid w:val="0"/>
                <w:color w:val="000000"/>
                <w:kern w:val="0"/>
                <w:sz w:val="24"/>
                <w:szCs w:val="24"/>
                <w:lang w:val="zh-CN" w:bidi="zh-CN"/>
              </w:rPr>
              <w:t>项以上</w:t>
            </w:r>
            <w:r>
              <w:rPr>
                <w:rFonts w:hint="eastAsia" w:ascii="仿宋_GB2312" w:hAnsi="仿宋_GB2312" w:eastAsia="仿宋_GB2312" w:cs="仿宋_GB2312"/>
                <w:snapToGrid w:val="0"/>
                <w:color w:val="000000"/>
                <w:kern w:val="0"/>
                <w:sz w:val="24"/>
                <w:szCs w:val="24"/>
                <w:lang w:val="zh-CN" w:eastAsia="zh-CN" w:bidi="zh-CN"/>
              </w:rPr>
              <w:t>，并颁布实施。</w:t>
            </w:r>
            <w:r>
              <w:rPr>
                <w:rFonts w:hint="eastAsia" w:ascii="仿宋_GB2312" w:hAnsi="仿宋_GB2312" w:eastAsia="仿宋_GB2312" w:cs="仿宋_GB2312"/>
                <w:snapToGrid w:val="0"/>
                <w:color w:val="000000"/>
                <w:kern w:val="0"/>
                <w:sz w:val="24"/>
                <w:szCs w:val="24"/>
                <w:lang w:val="zh-CN" w:bidi="zh-CN"/>
              </w:rPr>
              <w:t>选择2份作为代表业绩。</w:t>
            </w: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m+nx</w:t>
            </w:r>
          </w:p>
        </w:tc>
        <w:tc>
          <w:tcPr>
            <w:tcW w:w="3263" w:type="dxa"/>
            <w:gridSpan w:val="5"/>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基本分m最高分值为</w:t>
            </w:r>
            <w:r>
              <w:rPr>
                <w:rFonts w:hint="eastAsia" w:ascii="仿宋_GB2312" w:hAnsi="仿宋_GB2312" w:eastAsia="仿宋_GB2312" w:cs="仿宋_GB2312"/>
                <w:snapToGrid w:val="0"/>
                <w:color w:val="000000"/>
                <w:kern w:val="0"/>
                <w:sz w:val="24"/>
                <w:szCs w:val="24"/>
                <w:lang w:val="en-US" w:eastAsia="zh-CN" w:bidi="zh-CN"/>
              </w:rPr>
              <w:t>2</w:t>
            </w:r>
            <w:r>
              <w:rPr>
                <w:rFonts w:hint="eastAsia" w:ascii="仿宋_GB2312" w:hAnsi="仿宋_GB2312" w:eastAsia="仿宋_GB2312" w:cs="仿宋_GB2312"/>
                <w:snapToGrid w:val="0"/>
                <w:color w:val="000000"/>
                <w:kern w:val="0"/>
                <w:sz w:val="24"/>
                <w:szCs w:val="24"/>
                <w:lang w:val="zh-CN" w:bidi="zh-CN"/>
              </w:rPr>
              <w:t>0,根据业绩贡献大小给与0-</w:t>
            </w:r>
            <w:r>
              <w:rPr>
                <w:rFonts w:hint="eastAsia" w:ascii="仿宋_GB2312" w:hAnsi="仿宋_GB2312" w:eastAsia="仿宋_GB2312" w:cs="仿宋_GB2312"/>
                <w:snapToGrid w:val="0"/>
                <w:color w:val="000000"/>
                <w:kern w:val="0"/>
                <w:sz w:val="24"/>
                <w:szCs w:val="24"/>
                <w:lang w:val="en-US" w:eastAsia="zh-CN" w:bidi="zh-CN"/>
              </w:rPr>
              <w:t>2</w:t>
            </w:r>
            <w:r>
              <w:rPr>
                <w:rFonts w:hint="eastAsia" w:ascii="仿宋_GB2312" w:hAnsi="仿宋_GB2312" w:eastAsia="仿宋_GB2312" w:cs="仿宋_GB2312"/>
                <w:snapToGrid w:val="0"/>
                <w:color w:val="000000"/>
                <w:kern w:val="0"/>
                <w:sz w:val="24"/>
                <w:szCs w:val="24"/>
                <w:lang w:val="zh-CN" w:bidi="zh-CN"/>
              </w:rPr>
              <w:t>0区间分值。附加分nx最高分值10分，根据2份代表业绩级别系数相乘得出。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4" w:type="dxa"/>
          <w:trHeight w:val="45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0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eastAsia="zh-CN" w:bidi="zh-CN"/>
              </w:rPr>
              <w:t>要素</w:t>
            </w:r>
          </w:p>
        </w:tc>
        <w:tc>
          <w:tcPr>
            <w:tcW w:w="1234"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eastAsia="zh-CN" w:bidi="zh-CN"/>
              </w:rPr>
              <w:t>级别</w:t>
            </w:r>
          </w:p>
        </w:tc>
        <w:tc>
          <w:tcPr>
            <w:tcW w:w="1234"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eastAsia="zh-CN" w:bidi="zh-CN"/>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4" w:type="dxa"/>
          <w:trHeight w:val="45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0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zh-CN" w:eastAsia="zh-CN" w:bidi="zh-CN"/>
              </w:rPr>
              <w:t>类别</w:t>
            </w:r>
            <w:r>
              <w:rPr>
                <w:rFonts w:hint="eastAsia" w:ascii="仿宋_GB2312" w:hAnsi="仿宋_GB2312" w:eastAsia="仿宋_GB2312" w:cs="仿宋_GB2312"/>
                <w:snapToGrid w:val="0"/>
                <w:color w:val="000000"/>
                <w:kern w:val="0"/>
                <w:sz w:val="24"/>
                <w:szCs w:val="24"/>
                <w:lang w:val="en-US" w:eastAsia="zh-CN" w:bidi="zh-CN"/>
              </w:rPr>
              <w:t>n</w:t>
            </w:r>
          </w:p>
        </w:tc>
        <w:tc>
          <w:tcPr>
            <w:tcW w:w="1234"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eastAsia="zh-CN" w:bidi="zh-CN"/>
              </w:rPr>
              <w:t>总体</w:t>
            </w:r>
          </w:p>
        </w:tc>
        <w:tc>
          <w:tcPr>
            <w:tcW w:w="1234"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4" w:type="dxa"/>
          <w:trHeight w:val="45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0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34"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eastAsia="zh-CN" w:bidi="zh-CN"/>
              </w:rPr>
              <w:t>专项</w:t>
            </w:r>
          </w:p>
        </w:tc>
        <w:tc>
          <w:tcPr>
            <w:tcW w:w="1234"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4" w:type="dxa"/>
          <w:trHeight w:val="45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0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zh-CN" w:eastAsia="zh-CN" w:bidi="zh-CN"/>
              </w:rPr>
              <w:t>级别</w:t>
            </w:r>
            <w:r>
              <w:rPr>
                <w:rFonts w:hint="eastAsia" w:ascii="仿宋_GB2312" w:hAnsi="仿宋_GB2312" w:eastAsia="仿宋_GB2312" w:cs="仿宋_GB2312"/>
                <w:snapToGrid w:val="0"/>
                <w:color w:val="000000"/>
                <w:kern w:val="0"/>
                <w:sz w:val="24"/>
                <w:szCs w:val="24"/>
                <w:lang w:val="en-US" w:eastAsia="zh-CN" w:bidi="zh-CN"/>
              </w:rPr>
              <w:t>x</w:t>
            </w:r>
          </w:p>
        </w:tc>
        <w:tc>
          <w:tcPr>
            <w:tcW w:w="1234"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eastAsia="zh-CN" w:bidi="zh-CN"/>
              </w:rPr>
              <w:t>省级</w:t>
            </w:r>
          </w:p>
        </w:tc>
        <w:tc>
          <w:tcPr>
            <w:tcW w:w="1234"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4" w:type="dxa"/>
          <w:trHeight w:val="45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0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34"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eastAsia="zh-CN" w:bidi="zh-CN"/>
              </w:rPr>
              <w:t>市级</w:t>
            </w:r>
          </w:p>
        </w:tc>
        <w:tc>
          <w:tcPr>
            <w:tcW w:w="1234"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4" w:type="dxa"/>
          <w:trHeight w:val="45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0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234"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eastAsia="zh-CN" w:bidi="zh-CN"/>
              </w:rPr>
              <w:t>县级</w:t>
            </w:r>
          </w:p>
        </w:tc>
        <w:tc>
          <w:tcPr>
            <w:tcW w:w="1234"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岗位业绩(</w:t>
            </w:r>
            <w:r>
              <w:rPr>
                <w:rFonts w:hint="eastAsia" w:ascii="仿宋_GB2312" w:hAnsi="仿宋_GB2312" w:eastAsia="仿宋_GB2312" w:cs="仿宋_GB2312"/>
                <w:snapToGrid w:val="0"/>
                <w:color w:val="000000"/>
                <w:kern w:val="0"/>
                <w:sz w:val="24"/>
                <w:szCs w:val="24"/>
                <w:lang w:val="en-US" w:eastAsia="zh-CN" w:bidi="zh-CN"/>
              </w:rPr>
              <w:t>3</w:t>
            </w:r>
            <w:r>
              <w:rPr>
                <w:rFonts w:hint="eastAsia" w:ascii="仿宋_GB2312" w:hAnsi="仿宋_GB2312" w:eastAsia="仿宋_GB2312" w:cs="仿宋_GB2312"/>
                <w:snapToGrid w:val="0"/>
                <w:color w:val="000000"/>
                <w:kern w:val="0"/>
                <w:sz w:val="24"/>
                <w:szCs w:val="24"/>
                <w:lang w:val="zh-CN" w:bidi="zh-CN"/>
              </w:rPr>
              <w:t>0分，评分时选取1项二级指标进行打分，选定后其他二级指标空项)</w:t>
            </w:r>
          </w:p>
        </w:tc>
        <w:tc>
          <w:tcPr>
            <w:tcW w:w="209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应急预案演练评估</w:t>
            </w:r>
          </w:p>
        </w:tc>
        <w:tc>
          <w:tcPr>
            <w:tcW w:w="13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eastAsia="zh-CN" w:bidi="zh-CN"/>
              </w:rPr>
              <w:t>参与</w:t>
            </w:r>
            <w:r>
              <w:rPr>
                <w:rFonts w:hint="eastAsia" w:ascii="仿宋_GB2312" w:hAnsi="仿宋_GB2312" w:eastAsia="仿宋_GB2312" w:cs="仿宋_GB2312"/>
                <w:snapToGrid w:val="0"/>
                <w:color w:val="000000"/>
                <w:kern w:val="0"/>
                <w:sz w:val="24"/>
                <w:szCs w:val="24"/>
                <w:lang w:val="en-US" w:eastAsia="zh-CN" w:bidi="zh-CN"/>
              </w:rPr>
              <w:t>组织策划完成</w:t>
            </w:r>
            <w:r>
              <w:rPr>
                <w:rFonts w:hint="eastAsia" w:ascii="仿宋_GB2312" w:hAnsi="仿宋_GB2312" w:eastAsia="仿宋_GB2312" w:cs="仿宋_GB2312"/>
                <w:snapToGrid w:val="0"/>
                <w:color w:val="000000"/>
                <w:kern w:val="0"/>
                <w:sz w:val="24"/>
                <w:szCs w:val="24"/>
                <w:lang w:val="zh-CN" w:bidi="zh-CN"/>
              </w:rPr>
              <w:t>县级以上安全生产类、自然灾害类专项应急预案演练评估</w:t>
            </w:r>
          </w:p>
        </w:tc>
        <w:tc>
          <w:tcPr>
            <w:tcW w:w="156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eastAsia="zh-CN" w:bidi="zh-CN"/>
              </w:rPr>
              <w:t>参与</w:t>
            </w:r>
            <w:r>
              <w:rPr>
                <w:rFonts w:hint="eastAsia" w:ascii="仿宋_GB2312" w:hAnsi="仿宋_GB2312" w:eastAsia="仿宋_GB2312" w:cs="仿宋_GB2312"/>
                <w:snapToGrid w:val="0"/>
                <w:color w:val="000000"/>
                <w:kern w:val="0"/>
                <w:sz w:val="24"/>
                <w:szCs w:val="24"/>
                <w:lang w:val="zh-CN" w:bidi="zh-CN"/>
              </w:rPr>
              <w:t>完成应急预案演练评估总结报告1</w:t>
            </w:r>
            <w:r>
              <w:rPr>
                <w:rFonts w:hint="eastAsia" w:ascii="仿宋_GB2312" w:hAnsi="仿宋_GB2312" w:eastAsia="仿宋_GB2312" w:cs="仿宋_GB2312"/>
                <w:snapToGrid w:val="0"/>
                <w:color w:val="000000"/>
                <w:kern w:val="0"/>
                <w:sz w:val="24"/>
                <w:szCs w:val="24"/>
                <w:lang w:val="en-US" w:eastAsia="zh-CN" w:bidi="zh-CN"/>
              </w:rPr>
              <w:t>0</w:t>
            </w:r>
            <w:r>
              <w:rPr>
                <w:rFonts w:hint="eastAsia" w:ascii="仿宋_GB2312" w:hAnsi="仿宋_GB2312" w:eastAsia="仿宋_GB2312" w:cs="仿宋_GB2312"/>
                <w:snapToGrid w:val="0"/>
                <w:color w:val="000000"/>
                <w:kern w:val="0"/>
                <w:sz w:val="24"/>
                <w:szCs w:val="24"/>
                <w:lang w:val="zh-CN" w:bidi="zh-CN"/>
              </w:rPr>
              <w:t>份以上，</w:t>
            </w:r>
            <w:r>
              <w:rPr>
                <w:rFonts w:hint="eastAsia" w:ascii="仿宋_GB2312" w:hAnsi="仿宋_GB2312" w:eastAsia="仿宋_GB2312" w:cs="仿宋_GB2312"/>
                <w:snapToGrid w:val="0"/>
                <w:color w:val="000000"/>
                <w:kern w:val="0"/>
                <w:sz w:val="24"/>
                <w:szCs w:val="24"/>
                <w:lang w:val="zh-CN" w:eastAsia="zh-CN" w:bidi="zh-CN"/>
              </w:rPr>
              <w:t>并形成评估总结报告。</w:t>
            </w:r>
            <w:r>
              <w:rPr>
                <w:rFonts w:hint="eastAsia" w:ascii="仿宋_GB2312" w:hAnsi="仿宋_GB2312" w:eastAsia="仿宋_GB2312" w:cs="仿宋_GB2312"/>
                <w:snapToGrid w:val="0"/>
                <w:color w:val="000000"/>
                <w:kern w:val="0"/>
                <w:sz w:val="24"/>
                <w:szCs w:val="24"/>
                <w:lang w:val="zh-CN" w:bidi="zh-CN"/>
              </w:rPr>
              <w:t>选择3份作为代表业绩。</w:t>
            </w:r>
          </w:p>
        </w:tc>
        <w:tc>
          <w:tcPr>
            <w:tcW w:w="83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30</w:t>
            </w:r>
          </w:p>
        </w:tc>
        <w:tc>
          <w:tcPr>
            <w:tcW w:w="168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m+n</w:t>
            </w:r>
          </w:p>
        </w:tc>
        <w:tc>
          <w:tcPr>
            <w:tcW w:w="3263" w:type="dxa"/>
            <w:gridSpan w:val="5"/>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基本分m最高分值为</w:t>
            </w:r>
            <w:r>
              <w:rPr>
                <w:rFonts w:hint="eastAsia" w:ascii="仿宋_GB2312" w:hAnsi="仿宋_GB2312" w:eastAsia="仿宋_GB2312" w:cs="仿宋_GB2312"/>
                <w:snapToGrid w:val="0"/>
                <w:color w:val="000000"/>
                <w:kern w:val="0"/>
                <w:sz w:val="24"/>
                <w:szCs w:val="24"/>
                <w:lang w:val="en-US" w:eastAsia="zh-CN" w:bidi="zh-CN"/>
              </w:rPr>
              <w:t>2</w:t>
            </w:r>
            <w:r>
              <w:rPr>
                <w:rFonts w:hint="eastAsia" w:ascii="仿宋_GB2312" w:hAnsi="仿宋_GB2312" w:eastAsia="仿宋_GB2312" w:cs="仿宋_GB2312"/>
                <w:snapToGrid w:val="0"/>
                <w:color w:val="000000"/>
                <w:kern w:val="0"/>
                <w:sz w:val="24"/>
                <w:szCs w:val="24"/>
                <w:lang w:val="zh-CN" w:bidi="zh-CN"/>
              </w:rPr>
              <w:t>1,根据业绩贡献大小给与0-</w:t>
            </w:r>
            <w:r>
              <w:rPr>
                <w:rFonts w:hint="eastAsia" w:ascii="仿宋_GB2312" w:hAnsi="仿宋_GB2312" w:eastAsia="仿宋_GB2312" w:cs="仿宋_GB2312"/>
                <w:snapToGrid w:val="0"/>
                <w:color w:val="000000"/>
                <w:kern w:val="0"/>
                <w:sz w:val="24"/>
                <w:szCs w:val="24"/>
                <w:lang w:val="en-US" w:eastAsia="zh-CN" w:bidi="zh-CN"/>
              </w:rPr>
              <w:t>2</w:t>
            </w:r>
            <w:r>
              <w:rPr>
                <w:rFonts w:hint="eastAsia" w:ascii="仿宋_GB2312" w:hAnsi="仿宋_GB2312" w:eastAsia="仿宋_GB2312" w:cs="仿宋_GB2312"/>
                <w:snapToGrid w:val="0"/>
                <w:color w:val="000000"/>
                <w:kern w:val="0"/>
                <w:sz w:val="24"/>
                <w:szCs w:val="24"/>
                <w:lang w:val="zh-CN" w:bidi="zh-CN"/>
              </w:rPr>
              <w:t>1区间分值。附加分n最高分值9分，根据3份代表业绩级别系数相加累计得出。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45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412"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eastAsia="zh-CN" w:bidi="zh-CN"/>
              </w:rPr>
              <w:t>级别</w:t>
            </w:r>
          </w:p>
        </w:tc>
        <w:tc>
          <w:tcPr>
            <w:tcW w:w="1851"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eastAsia="zh-CN" w:bidi="zh-CN"/>
              </w:rPr>
              <w:t>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45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412"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eastAsia="zh-CN" w:bidi="zh-CN"/>
              </w:rPr>
              <w:t>省级</w:t>
            </w:r>
          </w:p>
        </w:tc>
        <w:tc>
          <w:tcPr>
            <w:tcW w:w="1851"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45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412"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eastAsia="zh-CN" w:bidi="zh-CN"/>
              </w:rPr>
              <w:t>市级</w:t>
            </w:r>
          </w:p>
        </w:tc>
        <w:tc>
          <w:tcPr>
            <w:tcW w:w="1851"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45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412"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eastAsia="zh-CN" w:bidi="zh-CN"/>
              </w:rPr>
              <w:t>县级</w:t>
            </w:r>
          </w:p>
        </w:tc>
        <w:tc>
          <w:tcPr>
            <w:tcW w:w="1851"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科研项目</w:t>
            </w:r>
          </w:p>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w:t>
            </w:r>
            <w:r>
              <w:rPr>
                <w:rFonts w:hint="eastAsia" w:ascii="仿宋_GB2312" w:hAnsi="仿宋_GB2312" w:eastAsia="仿宋_GB2312" w:cs="仿宋_GB2312"/>
                <w:snapToGrid w:val="0"/>
                <w:color w:val="000000"/>
                <w:kern w:val="0"/>
                <w:sz w:val="24"/>
                <w:szCs w:val="24"/>
                <w:lang w:val="en-US" w:eastAsia="zh-CN" w:bidi="zh-CN"/>
              </w:rPr>
              <w:t>5</w:t>
            </w:r>
            <w:r>
              <w:rPr>
                <w:rFonts w:hint="eastAsia" w:ascii="仿宋_GB2312" w:hAnsi="仿宋_GB2312" w:eastAsia="仿宋_GB2312" w:cs="仿宋_GB2312"/>
                <w:snapToGrid w:val="0"/>
                <w:color w:val="000000"/>
                <w:kern w:val="0"/>
                <w:sz w:val="24"/>
                <w:szCs w:val="24"/>
                <w:lang w:val="zh-CN" w:bidi="zh-CN"/>
              </w:rPr>
              <w:t>分)</w:t>
            </w:r>
          </w:p>
        </w:tc>
        <w:tc>
          <w:tcPr>
            <w:tcW w:w="209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参与完成县级以上科研项目2项以上，并通过评审、验收</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bidi="zh-CN"/>
              </w:rPr>
              <w:t>排名前三</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5</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en-US" w:eastAsia="zh-CN" w:bidi="zh-CN"/>
              </w:rPr>
              <w:t>3</w:t>
            </w:r>
            <w:r>
              <w:rPr>
                <w:rFonts w:hint="eastAsia" w:ascii="仿宋_GB2312" w:hAnsi="仿宋_GB2312" w:eastAsia="仿宋_GB2312" w:cs="仿宋_GB2312"/>
                <w:snapToGrid w:val="0"/>
                <w:color w:val="000000"/>
                <w:kern w:val="0"/>
                <w:sz w:val="24"/>
                <w:szCs w:val="24"/>
                <w:lang w:val="zh-CN" w:bidi="zh-CN"/>
              </w:rPr>
              <w:t>n</w:t>
            </w:r>
          </w:p>
        </w:tc>
        <w:tc>
          <w:tcPr>
            <w:tcW w:w="3263" w:type="dxa"/>
            <w:gridSpan w:val="5"/>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项目需要经过验收或鉴定</w:t>
            </w: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zh-CN" w:bidi="zh-CN"/>
              </w:rPr>
              <w:t>n指经专家认定项目数。不同项目分数可以累计计分。主要考核该项目的实用性、经济效益和社会效益以及成果转化或进一步研究价值。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开发应急救援新技术、新方法(</w:t>
            </w:r>
            <w:r>
              <w:rPr>
                <w:rFonts w:hint="eastAsia" w:ascii="仿宋_GB2312" w:hAnsi="仿宋_GB2312" w:eastAsia="仿宋_GB2312" w:cs="仿宋_GB2312"/>
                <w:snapToGrid w:val="0"/>
                <w:color w:val="000000"/>
                <w:kern w:val="0"/>
                <w:sz w:val="24"/>
                <w:szCs w:val="24"/>
                <w:lang w:val="en-US" w:eastAsia="zh-CN" w:bidi="zh-CN"/>
              </w:rPr>
              <w:t>2</w:t>
            </w:r>
            <w:r>
              <w:rPr>
                <w:rFonts w:hint="eastAsia" w:ascii="仿宋_GB2312" w:hAnsi="仿宋_GB2312" w:eastAsia="仿宋_GB2312" w:cs="仿宋_GB2312"/>
                <w:snapToGrid w:val="0"/>
                <w:color w:val="000000"/>
                <w:kern w:val="0"/>
                <w:sz w:val="24"/>
                <w:szCs w:val="24"/>
                <w:lang w:val="zh-CN" w:bidi="zh-CN"/>
              </w:rPr>
              <w:t>分)</w:t>
            </w:r>
          </w:p>
        </w:tc>
        <w:tc>
          <w:tcPr>
            <w:tcW w:w="209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参与开发应急救援新技术、新方法等项目1项以上</w:t>
            </w: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zh-CN" w:bidi="zh-CN"/>
              </w:rPr>
              <w:t>或参与成功推广应用项目2项以上，成效显著。</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2</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p>
        </w:tc>
        <w:tc>
          <w:tcPr>
            <w:tcW w:w="3263" w:type="dxa"/>
            <w:gridSpan w:val="5"/>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获奖情况</w:t>
            </w:r>
          </w:p>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w:t>
            </w:r>
            <w:r>
              <w:rPr>
                <w:rFonts w:hint="eastAsia" w:ascii="仿宋_GB2312" w:hAnsi="仿宋_GB2312" w:eastAsia="仿宋_GB2312" w:cs="仿宋_GB2312"/>
                <w:snapToGrid w:val="0"/>
                <w:color w:val="000000"/>
                <w:kern w:val="0"/>
                <w:sz w:val="24"/>
                <w:szCs w:val="24"/>
                <w:lang w:val="en-US" w:eastAsia="zh-CN" w:bidi="zh-CN"/>
              </w:rPr>
              <w:t>4</w:t>
            </w:r>
            <w:r>
              <w:rPr>
                <w:rFonts w:hint="eastAsia" w:ascii="仿宋_GB2312" w:hAnsi="仿宋_GB2312" w:eastAsia="仿宋_GB2312" w:cs="仿宋_GB2312"/>
                <w:snapToGrid w:val="0"/>
                <w:color w:val="000000"/>
                <w:kern w:val="0"/>
                <w:sz w:val="24"/>
                <w:szCs w:val="24"/>
                <w:lang w:val="zh-CN" w:bidi="zh-CN"/>
              </w:rPr>
              <w:t>分)</w:t>
            </w:r>
          </w:p>
        </w:tc>
        <w:tc>
          <w:tcPr>
            <w:tcW w:w="209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市(厅)级</w:t>
            </w:r>
            <w:r>
              <w:rPr>
                <w:rFonts w:hint="eastAsia" w:ascii="仿宋_GB2312" w:hAnsi="仿宋_GB2312" w:eastAsia="仿宋_GB2312" w:cs="仿宋_GB2312"/>
                <w:snapToGrid w:val="0"/>
                <w:color w:val="000000"/>
                <w:kern w:val="0"/>
                <w:sz w:val="24"/>
                <w:szCs w:val="24"/>
                <w:lang w:val="zh-CN" w:eastAsia="zh-CN" w:bidi="zh-CN"/>
              </w:rPr>
              <w:t>以上</w:t>
            </w:r>
            <w:r>
              <w:rPr>
                <w:rFonts w:hint="eastAsia" w:ascii="仿宋_GB2312" w:hAnsi="仿宋_GB2312" w:eastAsia="仿宋_GB2312" w:cs="仿宋_GB2312"/>
                <w:snapToGrid w:val="0"/>
                <w:color w:val="000000"/>
                <w:kern w:val="0"/>
                <w:sz w:val="24"/>
                <w:szCs w:val="24"/>
                <w:lang w:val="zh-CN" w:bidi="zh-CN"/>
              </w:rPr>
              <w:t>科学技术奖</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省级及以上</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bidi="zh-CN"/>
              </w:rPr>
              <w:t>4</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4</w:t>
            </w:r>
          </w:p>
        </w:tc>
        <w:tc>
          <w:tcPr>
            <w:tcW w:w="3263" w:type="dxa"/>
            <w:gridSpan w:val="5"/>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市级</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3</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区县级</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2</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获得市(厅)级以上应急救援竞赛项目个人一等奖1项以上。</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省级及以上</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4n</w:t>
            </w:r>
          </w:p>
        </w:tc>
        <w:tc>
          <w:tcPr>
            <w:tcW w:w="3263" w:type="dxa"/>
            <w:gridSpan w:val="5"/>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n为经专家认定的获奖项数，竞赛奖项名次指总分排名。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市级</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3n</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区县级</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2n</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获得应急救援领域相关专利或软件著作权1项以上</w:t>
            </w:r>
          </w:p>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en-US" w:eastAsia="zh-CN" w:bidi="zh-CN"/>
              </w:rPr>
              <w:t>3分）</w:t>
            </w:r>
          </w:p>
        </w:tc>
        <w:tc>
          <w:tcPr>
            <w:tcW w:w="209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eastAsia="zh-CN" w:bidi="zh-CN"/>
              </w:rPr>
              <w:t>相关</w:t>
            </w:r>
            <w:r>
              <w:rPr>
                <w:rFonts w:hint="eastAsia" w:ascii="仿宋_GB2312" w:hAnsi="仿宋_GB2312" w:eastAsia="仿宋_GB2312" w:cs="仿宋_GB2312"/>
                <w:snapToGrid w:val="0"/>
                <w:color w:val="000000"/>
                <w:kern w:val="0"/>
                <w:sz w:val="24"/>
                <w:szCs w:val="24"/>
                <w:lang w:val="zh-CN" w:bidi="zh-CN"/>
              </w:rPr>
              <w:t>专利</w:t>
            </w:r>
          </w:p>
        </w:tc>
        <w:tc>
          <w:tcPr>
            <w:tcW w:w="13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第一发明人</w:t>
            </w:r>
          </w:p>
        </w:tc>
        <w:tc>
          <w:tcPr>
            <w:tcW w:w="83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en-US" w:eastAsia="zh-CN" w:bidi="zh-CN"/>
              </w:rPr>
              <w:t>3</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en-US" w:eastAsia="zh-CN" w:bidi="zh-CN"/>
              </w:rPr>
              <w:t>3</w:t>
            </w:r>
            <w:r>
              <w:rPr>
                <w:rFonts w:hint="eastAsia" w:ascii="仿宋_GB2312" w:hAnsi="仿宋_GB2312" w:eastAsia="仿宋_GB2312" w:cs="仿宋_GB2312"/>
                <w:snapToGrid w:val="0"/>
                <w:color w:val="000000"/>
                <w:kern w:val="0"/>
                <w:sz w:val="24"/>
                <w:szCs w:val="24"/>
                <w:lang w:val="zh-CN" w:bidi="zh-CN"/>
              </w:rPr>
              <w:t>n</w:t>
            </w:r>
          </w:p>
        </w:tc>
        <w:tc>
          <w:tcPr>
            <w:tcW w:w="3263" w:type="dxa"/>
            <w:gridSpan w:val="5"/>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bidi="zh-CN"/>
              </w:rPr>
              <w:t>n为经专家认可产生实际效益的专利数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主要发明人</w:t>
            </w: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n</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bidi="zh-CN"/>
              </w:rPr>
              <w:t>软件著作权登记</w:t>
            </w:r>
          </w:p>
        </w:tc>
        <w:tc>
          <w:tcPr>
            <w:tcW w:w="13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排名第一</w:t>
            </w: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n</w:t>
            </w:r>
          </w:p>
        </w:tc>
        <w:tc>
          <w:tcPr>
            <w:tcW w:w="3263" w:type="dxa"/>
            <w:gridSpan w:val="5"/>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单位或专利代理事务所盖章为准，n为经专家认定产生实际效益的数。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排名前五</w:t>
            </w: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en-US" w:eastAsia="zh-CN" w:bidi="zh-CN"/>
              </w:rPr>
              <w:t>0.5</w:t>
            </w:r>
            <w:r>
              <w:rPr>
                <w:rFonts w:hint="eastAsia" w:ascii="仿宋_GB2312" w:hAnsi="仿宋_GB2312" w:eastAsia="仿宋_GB2312" w:cs="仿宋_GB2312"/>
                <w:snapToGrid w:val="0"/>
                <w:color w:val="000000"/>
                <w:kern w:val="0"/>
                <w:sz w:val="24"/>
                <w:szCs w:val="24"/>
                <w:lang w:val="zh-CN" w:bidi="zh-CN"/>
              </w:rPr>
              <w:t>n</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restart"/>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参与完成设区市(厅)级以上标准/规程/规范1项以上，并颁布实施</w:t>
            </w:r>
          </w:p>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w:t>
            </w:r>
            <w:r>
              <w:rPr>
                <w:rFonts w:hint="eastAsia" w:ascii="仿宋_GB2312" w:hAnsi="仿宋_GB2312" w:eastAsia="仿宋_GB2312" w:cs="仿宋_GB2312"/>
                <w:snapToGrid w:val="0"/>
                <w:color w:val="000000"/>
                <w:kern w:val="0"/>
                <w:sz w:val="24"/>
                <w:szCs w:val="24"/>
                <w:lang w:val="en-US" w:eastAsia="zh-CN" w:bidi="zh-CN"/>
              </w:rPr>
              <w:t>3</w:t>
            </w:r>
            <w:r>
              <w:rPr>
                <w:rFonts w:hint="eastAsia" w:ascii="仿宋_GB2312" w:hAnsi="仿宋_GB2312" w:eastAsia="仿宋_GB2312" w:cs="仿宋_GB2312"/>
                <w:snapToGrid w:val="0"/>
                <w:color w:val="000000"/>
                <w:kern w:val="0"/>
                <w:sz w:val="24"/>
                <w:szCs w:val="24"/>
                <w:lang w:val="zh-CN" w:bidi="zh-CN"/>
              </w:rPr>
              <w:t>分)</w:t>
            </w:r>
          </w:p>
        </w:tc>
        <w:tc>
          <w:tcPr>
            <w:tcW w:w="2091"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国家、行业</w:t>
            </w:r>
          </w:p>
        </w:tc>
        <w:tc>
          <w:tcPr>
            <w:tcW w:w="1389"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restart"/>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3</w:t>
            </w:r>
          </w:p>
        </w:tc>
        <w:tc>
          <w:tcPr>
            <w:tcW w:w="1686"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en-US" w:eastAsia="zh-CN" w:bidi="zh-CN"/>
              </w:rPr>
              <w:t>3</w:t>
            </w:r>
            <w:r>
              <w:rPr>
                <w:rFonts w:hint="eastAsia" w:ascii="仿宋_GB2312" w:hAnsi="仿宋_GB2312" w:eastAsia="仿宋_GB2312" w:cs="仿宋_GB2312"/>
                <w:snapToGrid w:val="0"/>
                <w:color w:val="000000"/>
                <w:kern w:val="0"/>
                <w:sz w:val="24"/>
                <w:szCs w:val="24"/>
                <w:lang w:val="zh-CN" w:bidi="zh-CN"/>
              </w:rPr>
              <w:t>n</w:t>
            </w:r>
          </w:p>
        </w:tc>
        <w:tc>
          <w:tcPr>
            <w:tcW w:w="3263" w:type="dxa"/>
            <w:gridSpan w:val="5"/>
            <w:vMerge w:val="restart"/>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n为编制数，有正式文件为据。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省级</w:t>
            </w:r>
          </w:p>
        </w:tc>
        <w:tc>
          <w:tcPr>
            <w:tcW w:w="1389"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en-US" w:eastAsia="zh-CN" w:bidi="zh-CN"/>
              </w:rPr>
              <w:t>2</w:t>
            </w:r>
            <w:r>
              <w:rPr>
                <w:rFonts w:hint="eastAsia" w:ascii="仿宋_GB2312" w:hAnsi="仿宋_GB2312" w:eastAsia="仿宋_GB2312" w:cs="仿宋_GB2312"/>
                <w:snapToGrid w:val="0"/>
                <w:color w:val="000000"/>
                <w:kern w:val="0"/>
                <w:sz w:val="24"/>
                <w:szCs w:val="24"/>
                <w:lang w:val="zh-CN" w:bidi="zh-CN"/>
              </w:rPr>
              <w:t>n</w:t>
            </w:r>
          </w:p>
        </w:tc>
        <w:tc>
          <w:tcPr>
            <w:tcW w:w="3263" w:type="dxa"/>
            <w:gridSpan w:val="5"/>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地市级</w:t>
            </w:r>
          </w:p>
        </w:tc>
        <w:tc>
          <w:tcPr>
            <w:tcW w:w="1389"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en-US" w:eastAsia="zh-CN" w:bidi="zh-CN"/>
              </w:rPr>
              <w:t>1</w:t>
            </w:r>
            <w:r>
              <w:rPr>
                <w:rFonts w:hint="eastAsia" w:ascii="仿宋_GB2312" w:hAnsi="仿宋_GB2312" w:eastAsia="仿宋_GB2312" w:cs="仿宋_GB2312"/>
                <w:snapToGrid w:val="0"/>
                <w:color w:val="000000"/>
                <w:kern w:val="0"/>
                <w:sz w:val="24"/>
                <w:szCs w:val="24"/>
                <w:lang w:val="zh-CN" w:bidi="zh-CN"/>
              </w:rPr>
              <w:t>n</w:t>
            </w:r>
          </w:p>
        </w:tc>
        <w:tc>
          <w:tcPr>
            <w:tcW w:w="3263" w:type="dxa"/>
            <w:gridSpan w:val="5"/>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zh-CN" w:eastAsia="zh-CN" w:bidi="zh-CN"/>
              </w:rPr>
              <w:t>团体</w:t>
            </w:r>
          </w:p>
        </w:tc>
        <w:tc>
          <w:tcPr>
            <w:tcW w:w="1389"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834" w:type="dxa"/>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p>
        </w:tc>
        <w:tc>
          <w:tcPr>
            <w:tcW w:w="1686"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bidi="zh-CN"/>
              </w:rPr>
            </w:pPr>
            <w:r>
              <w:rPr>
                <w:rFonts w:hint="eastAsia" w:ascii="仿宋_GB2312" w:hAnsi="仿宋_GB2312" w:eastAsia="仿宋_GB2312" w:cs="仿宋_GB2312"/>
                <w:snapToGrid w:val="0"/>
                <w:color w:val="000000"/>
                <w:kern w:val="0"/>
                <w:sz w:val="24"/>
                <w:szCs w:val="24"/>
                <w:lang w:val="en-US" w:eastAsia="zh-CN" w:bidi="zh-CN"/>
              </w:rPr>
              <w:t>0.5n</w:t>
            </w:r>
          </w:p>
        </w:tc>
        <w:tc>
          <w:tcPr>
            <w:tcW w:w="3263" w:type="dxa"/>
            <w:gridSpan w:val="5"/>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论文著作</w:t>
            </w:r>
          </w:p>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w:t>
            </w:r>
            <w:r>
              <w:rPr>
                <w:rFonts w:hint="eastAsia" w:ascii="仿宋_GB2312" w:hAnsi="仿宋_GB2312" w:eastAsia="仿宋_GB2312" w:cs="仿宋_GB2312"/>
                <w:snapToGrid w:val="0"/>
                <w:color w:val="000000"/>
                <w:kern w:val="0"/>
                <w:sz w:val="24"/>
                <w:szCs w:val="24"/>
                <w:lang w:val="en-US" w:eastAsia="zh-CN" w:bidi="zh-CN"/>
              </w:rPr>
              <w:t>3</w:t>
            </w:r>
            <w:r>
              <w:rPr>
                <w:rFonts w:hint="eastAsia" w:ascii="仿宋_GB2312" w:hAnsi="仿宋_GB2312" w:eastAsia="仿宋_GB2312" w:cs="仿宋_GB2312"/>
                <w:snapToGrid w:val="0"/>
                <w:color w:val="000000"/>
                <w:kern w:val="0"/>
                <w:sz w:val="24"/>
                <w:szCs w:val="24"/>
                <w:lang w:val="zh-CN" w:bidi="zh-CN"/>
              </w:rPr>
              <w:t>分)</w:t>
            </w:r>
          </w:p>
        </w:tc>
        <w:tc>
          <w:tcPr>
            <w:tcW w:w="209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著作</w:t>
            </w: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zh-CN" w:bidi="zh-CN"/>
              </w:rPr>
              <w:t>编著、</w:t>
            </w:r>
          </w:p>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教材、译著</w:t>
            </w:r>
          </w:p>
        </w:tc>
        <w:tc>
          <w:tcPr>
            <w:tcW w:w="13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专著</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主编/第一作者</w:t>
            </w:r>
          </w:p>
        </w:tc>
        <w:tc>
          <w:tcPr>
            <w:tcW w:w="83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en-US" w:eastAsia="zh-CN" w:bidi="zh-CN"/>
              </w:rPr>
              <w:t>3</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en-US" w:eastAsia="zh-CN" w:bidi="zh-CN"/>
              </w:rPr>
              <w:t>3</w:t>
            </w:r>
            <w:r>
              <w:rPr>
                <w:rFonts w:hint="eastAsia" w:ascii="仿宋_GB2312" w:hAnsi="仿宋_GB2312" w:eastAsia="仿宋_GB2312" w:cs="仿宋_GB2312"/>
                <w:snapToGrid w:val="0"/>
                <w:color w:val="000000"/>
                <w:kern w:val="0"/>
                <w:sz w:val="24"/>
                <w:szCs w:val="24"/>
                <w:lang w:val="zh-CN" w:bidi="zh-CN"/>
              </w:rPr>
              <w:t>n</w:t>
            </w:r>
          </w:p>
        </w:tc>
        <w:tc>
          <w:tcPr>
            <w:tcW w:w="3263" w:type="dxa"/>
            <w:gridSpan w:val="5"/>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指任现职后工作期间发表的论文、专著，n为经专家认定的数。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参编/其他作者</w:t>
            </w: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en-US" w:eastAsia="zh-CN" w:bidi="zh-CN"/>
              </w:rPr>
              <w:t>2</w:t>
            </w:r>
            <w:r>
              <w:rPr>
                <w:rFonts w:hint="eastAsia" w:ascii="仿宋_GB2312" w:hAnsi="仿宋_GB2312" w:eastAsia="仿宋_GB2312" w:cs="仿宋_GB2312"/>
                <w:snapToGrid w:val="0"/>
                <w:color w:val="000000"/>
                <w:kern w:val="0"/>
                <w:sz w:val="24"/>
                <w:szCs w:val="24"/>
                <w:lang w:val="zh-CN" w:bidi="zh-CN"/>
              </w:rPr>
              <w:t>n</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SCI</w:t>
            </w:r>
            <w:r>
              <w:rPr>
                <w:rFonts w:hint="eastAsia" w:ascii="仿宋_GB2312" w:hAnsi="仿宋_GB2312" w:eastAsia="仿宋_GB2312" w:cs="仿宋_GB2312"/>
                <w:snapToGrid w:val="0"/>
                <w:color w:val="000000"/>
                <w:kern w:val="0"/>
                <w:sz w:val="24"/>
                <w:szCs w:val="24"/>
                <w:lang w:val="zh-CN" w:eastAsia="zh-CN" w:bidi="zh-CN"/>
              </w:rPr>
              <w:t>、</w:t>
            </w:r>
            <w:r>
              <w:rPr>
                <w:rFonts w:hint="eastAsia" w:ascii="仿宋_GB2312" w:hAnsi="仿宋_GB2312" w:eastAsia="仿宋_GB2312" w:cs="仿宋_GB2312"/>
                <w:snapToGrid w:val="0"/>
                <w:color w:val="000000"/>
                <w:kern w:val="0"/>
                <w:sz w:val="24"/>
                <w:szCs w:val="24"/>
                <w:lang w:val="zh-CN" w:bidi="zh-CN"/>
              </w:rPr>
              <w:t>EI、ISTP</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第一作者或通讯作者</w:t>
            </w: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en-US" w:eastAsia="zh-CN" w:bidi="zh-CN"/>
              </w:rPr>
              <w:t>2</w:t>
            </w:r>
            <w:r>
              <w:rPr>
                <w:rFonts w:hint="eastAsia" w:ascii="仿宋_GB2312" w:hAnsi="仿宋_GB2312" w:eastAsia="仿宋_GB2312" w:cs="仿宋_GB2312"/>
                <w:snapToGrid w:val="0"/>
                <w:color w:val="000000"/>
                <w:kern w:val="0"/>
                <w:sz w:val="24"/>
                <w:szCs w:val="24"/>
                <w:lang w:val="zh-CN" w:bidi="zh-CN"/>
              </w:rPr>
              <w:t>n</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第二至五作者</w:t>
            </w: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n</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核心期刊</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第一作者或通讯作者</w:t>
            </w:r>
          </w:p>
        </w:tc>
        <w:tc>
          <w:tcPr>
            <w:tcW w:w="83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en-US" w:eastAsia="zh-CN" w:bidi="zh-CN"/>
              </w:rPr>
              <w:t>2</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n</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第二、三作者</w:t>
            </w: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0.5n</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209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公开发表的学术期刊</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第一作者或通讯作者</w:t>
            </w:r>
          </w:p>
        </w:tc>
        <w:tc>
          <w:tcPr>
            <w:tcW w:w="83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eastAsia="zh-CN" w:bidi="zh-CN"/>
              </w:rPr>
            </w:pPr>
            <w:r>
              <w:rPr>
                <w:rFonts w:hint="eastAsia" w:ascii="仿宋_GB2312" w:hAnsi="仿宋_GB2312" w:eastAsia="仿宋_GB2312" w:cs="仿宋_GB2312"/>
                <w:snapToGrid w:val="0"/>
                <w:color w:val="000000"/>
                <w:kern w:val="0"/>
                <w:sz w:val="24"/>
                <w:szCs w:val="24"/>
                <w:lang w:val="en-US" w:eastAsia="zh-CN" w:bidi="zh-CN"/>
              </w:rPr>
              <w:t>1</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0.5n</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43" w:type="dxa"/>
          <w:trHeight w:val="567" w:hRule="atLeast"/>
          <w:jc w:val="center"/>
        </w:trPr>
        <w:tc>
          <w:tcPr>
            <w:tcW w:w="13604" w:type="dxa"/>
            <w:gridSpan w:val="13"/>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both"/>
              <w:textAlignment w:val="baseline"/>
              <w:rPr>
                <w:rFonts w:hint="eastAsia" w:ascii="仿宋_GB2312" w:hAnsi="仿宋_GB2312" w:eastAsia="仿宋_GB2312" w:cs="仿宋_GB2312"/>
                <w:snapToGrid w:val="0"/>
                <w:color w:val="000000"/>
                <w:kern w:val="0"/>
                <w:sz w:val="24"/>
                <w:szCs w:val="24"/>
                <w:lang w:val="zh-CN" w:bidi="zh-CN"/>
              </w:rPr>
            </w:pPr>
            <w:r>
              <w:rPr>
                <w:rFonts w:hint="eastAsia" w:ascii="仿宋_GB2312" w:hAnsi="仿宋_GB2312" w:eastAsia="仿宋_GB2312" w:cs="仿宋_GB2312"/>
                <w:snapToGrid w:val="0"/>
                <w:color w:val="000000"/>
                <w:kern w:val="0"/>
                <w:sz w:val="24"/>
                <w:szCs w:val="24"/>
                <w:lang w:val="zh-CN" w:bidi="zh-CN"/>
              </w:rPr>
              <w:t>备注：评价指标和各级指标有最高得分值，某项得分超过指标所设定的最高分，按最高分计算该项得分。</w:t>
            </w:r>
          </w:p>
        </w:tc>
      </w:tr>
    </w:tbl>
    <w:p>
      <w:pPr>
        <w:rPr>
          <w:rFonts w:hint="eastAsia"/>
        </w:rPr>
        <w:sectPr>
          <w:pgSz w:w="16838" w:h="11906" w:orient="landscape"/>
          <w:pgMar w:top="1531" w:right="1701" w:bottom="1531" w:left="1701" w:header="851" w:footer="992" w:gutter="0"/>
          <w:pgNumType w:fmt="decimal"/>
          <w:cols w:space="0" w:num="1"/>
          <w:rtlGutter w:val="0"/>
          <w:docGrid w:type="lines" w:linePitch="312" w:charSpace="0"/>
        </w:sectPr>
      </w:pPr>
    </w:p>
    <w:p>
      <w:pPr>
        <w:bidi w:val="0"/>
        <w:ind w:left="0" w:leftChars="0" w:firstLine="0" w:firstLineChars="0"/>
        <w:rPr>
          <w:rFonts w:hint="eastAsia" w:ascii="黑体" w:hAnsi="黑体" w:eastAsia="黑体" w:cs="黑体"/>
        </w:rPr>
      </w:pPr>
      <w:r>
        <w:rPr>
          <w:rFonts w:hint="eastAsia" w:ascii="黑体" w:hAnsi="黑体" w:eastAsia="黑体" w:cs="黑体"/>
        </w:rPr>
        <w:t>附</w:t>
      </w:r>
      <w:r>
        <w:rPr>
          <w:rFonts w:hint="eastAsia" w:ascii="黑体" w:hAnsi="黑体" w:eastAsia="黑体" w:cs="黑体"/>
          <w:lang w:eastAsia="zh-CN"/>
        </w:rPr>
        <w:t>表</w:t>
      </w:r>
      <w:r>
        <w:rPr>
          <w:rFonts w:hint="eastAsia" w:ascii="黑体" w:hAnsi="黑体" w:eastAsia="黑体" w:cs="黑体"/>
        </w:rPr>
        <w:t>2</w:t>
      </w:r>
    </w:p>
    <w:p>
      <w:pPr>
        <w:pStyle w:val="5"/>
        <w:bidi w:val="0"/>
        <w:rPr>
          <w:rFonts w:hint="eastAsia"/>
        </w:rPr>
      </w:pPr>
      <w:r>
        <w:rPr>
          <w:rFonts w:hint="eastAsia"/>
        </w:rPr>
        <w:t>应急救援分类</w:t>
      </w:r>
    </w:p>
    <w:tbl>
      <w:tblPr>
        <w:tblStyle w:val="24"/>
        <w:tblW w:w="134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2"/>
        <w:gridCol w:w="2651"/>
        <w:gridCol w:w="9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32"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ascii="Arial" w:hAnsi="Arial" w:eastAsia="仿宋_GB2312" w:cs="Arial"/>
                <w:b/>
                <w:bCs/>
                <w:snapToGrid w:val="0"/>
                <w:color w:val="000000"/>
                <w:kern w:val="0"/>
                <w:sz w:val="24"/>
                <w:szCs w:val="24"/>
                <w:lang w:val="zh-CN" w:bidi="zh-CN"/>
              </w:rPr>
            </w:pPr>
            <w:r>
              <w:rPr>
                <w:rFonts w:ascii="Arial" w:hAnsi="Arial" w:eastAsia="仿宋_GB2312" w:cs="Arial"/>
                <w:b/>
                <w:bCs/>
                <w:snapToGrid w:val="0"/>
                <w:color w:val="000000"/>
                <w:kern w:val="0"/>
                <w:sz w:val="24"/>
                <w:szCs w:val="24"/>
                <w:lang w:val="zh-CN" w:bidi="zh-CN"/>
              </w:rPr>
              <w:t>序号</w:t>
            </w:r>
          </w:p>
        </w:tc>
        <w:tc>
          <w:tcPr>
            <w:tcW w:w="2651"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ascii="Arial" w:hAnsi="Arial" w:eastAsia="仿宋_GB2312" w:cs="Arial"/>
                <w:b/>
                <w:bCs/>
                <w:snapToGrid w:val="0"/>
                <w:color w:val="000000"/>
                <w:kern w:val="0"/>
                <w:sz w:val="24"/>
                <w:szCs w:val="24"/>
                <w:lang w:val="zh-CN" w:bidi="zh-CN"/>
              </w:rPr>
            </w:pPr>
            <w:r>
              <w:rPr>
                <w:rFonts w:ascii="Arial" w:hAnsi="Arial" w:eastAsia="仿宋_GB2312" w:cs="Arial"/>
                <w:b/>
                <w:bCs/>
                <w:snapToGrid w:val="0"/>
                <w:color w:val="000000"/>
                <w:kern w:val="0"/>
                <w:sz w:val="24"/>
                <w:szCs w:val="24"/>
                <w:lang w:val="zh-CN" w:bidi="zh-CN"/>
              </w:rPr>
              <w:t>救援方向</w:t>
            </w:r>
          </w:p>
        </w:tc>
        <w:tc>
          <w:tcPr>
            <w:tcW w:w="998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ascii="Arial" w:hAnsi="Arial" w:eastAsia="仿宋_GB2312" w:cs="Arial"/>
                <w:b/>
                <w:bCs/>
                <w:snapToGrid w:val="0"/>
                <w:color w:val="000000"/>
                <w:kern w:val="0"/>
                <w:sz w:val="24"/>
                <w:szCs w:val="24"/>
                <w:lang w:val="zh-CN" w:bidi="zh-CN"/>
              </w:rPr>
            </w:pPr>
            <w:r>
              <w:rPr>
                <w:rFonts w:ascii="Arial" w:hAnsi="Arial" w:eastAsia="仿宋_GB2312" w:cs="Arial"/>
                <w:b/>
                <w:bCs/>
                <w:snapToGrid w:val="0"/>
                <w:color w:val="000000"/>
                <w:kern w:val="0"/>
                <w:sz w:val="24"/>
                <w:szCs w:val="24"/>
                <w:lang w:val="zh-CN" w:bidi="zh-CN"/>
              </w:rPr>
              <w:t>救援内容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32"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ascii="Arial" w:hAnsi="Arial" w:eastAsia="仿宋_GB2312" w:cs="Arial"/>
                <w:snapToGrid w:val="0"/>
                <w:color w:val="000000"/>
                <w:kern w:val="0"/>
                <w:sz w:val="24"/>
                <w:szCs w:val="24"/>
                <w:lang w:val="zh-CN" w:bidi="zh-CN"/>
              </w:rPr>
            </w:pPr>
            <w:r>
              <w:rPr>
                <w:rFonts w:ascii="Arial" w:hAnsi="Arial" w:eastAsia="仿宋_GB2312" w:cs="Arial"/>
                <w:snapToGrid w:val="0"/>
                <w:color w:val="000000"/>
                <w:kern w:val="0"/>
                <w:sz w:val="24"/>
                <w:szCs w:val="24"/>
                <w:lang w:val="zh-CN" w:bidi="zh-CN"/>
              </w:rPr>
              <w:t>1</w:t>
            </w:r>
          </w:p>
        </w:tc>
        <w:tc>
          <w:tcPr>
            <w:tcW w:w="2651"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ascii="Arial" w:hAnsi="Arial" w:eastAsia="仿宋_GB2312" w:cs="Arial"/>
                <w:snapToGrid w:val="0"/>
                <w:color w:val="000000"/>
                <w:kern w:val="0"/>
                <w:sz w:val="24"/>
                <w:szCs w:val="24"/>
                <w:lang w:val="zh-CN" w:bidi="zh-CN"/>
              </w:rPr>
            </w:pPr>
            <w:r>
              <w:rPr>
                <w:rFonts w:ascii="Arial" w:hAnsi="Arial" w:eastAsia="仿宋_GB2312" w:cs="Arial"/>
                <w:snapToGrid w:val="0"/>
                <w:color w:val="000000"/>
                <w:kern w:val="0"/>
                <w:sz w:val="24"/>
                <w:szCs w:val="24"/>
                <w:lang w:val="zh-CN" w:bidi="zh-CN"/>
              </w:rPr>
              <w:t>建筑物坍塌搜索与救援</w:t>
            </w:r>
          </w:p>
        </w:tc>
        <w:tc>
          <w:tcPr>
            <w:tcW w:w="998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both"/>
              <w:textAlignment w:val="baseline"/>
              <w:rPr>
                <w:rFonts w:ascii="Arial" w:hAnsi="Arial" w:eastAsia="仿宋_GB2312" w:cs="Arial"/>
                <w:snapToGrid w:val="0"/>
                <w:color w:val="000000"/>
                <w:kern w:val="0"/>
                <w:sz w:val="24"/>
                <w:szCs w:val="24"/>
                <w:lang w:val="zh-CN" w:bidi="zh-CN"/>
              </w:rPr>
            </w:pPr>
            <w:r>
              <w:rPr>
                <w:rFonts w:ascii="Arial" w:hAnsi="Arial" w:eastAsia="仿宋_GB2312" w:cs="Arial"/>
                <w:snapToGrid w:val="0"/>
                <w:color w:val="000000"/>
                <w:kern w:val="0"/>
                <w:sz w:val="24"/>
                <w:szCs w:val="24"/>
                <w:lang w:val="zh-CN" w:bidi="zh-CN"/>
              </w:rPr>
              <w:t>综合分析建筑坍塌现场险情，制定救援方案;利用犬搜索、仪器搜索和人工搜索的方法搜寻被困人员，并准确定位，通过破拆、支撑、牵引、加固等措施开辟救生通道，并成功处置。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32"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ascii="Arial" w:hAnsi="Arial" w:eastAsia="仿宋_GB2312" w:cs="Arial"/>
                <w:snapToGrid w:val="0"/>
                <w:color w:val="000000"/>
                <w:kern w:val="0"/>
                <w:sz w:val="24"/>
                <w:szCs w:val="24"/>
                <w:lang w:val="zh-CN" w:bidi="zh-CN"/>
              </w:rPr>
            </w:pPr>
            <w:r>
              <w:rPr>
                <w:rFonts w:ascii="Arial" w:hAnsi="Arial" w:eastAsia="仿宋_GB2312" w:cs="Arial"/>
                <w:snapToGrid w:val="0"/>
                <w:color w:val="000000"/>
                <w:kern w:val="0"/>
                <w:sz w:val="24"/>
                <w:szCs w:val="24"/>
                <w:lang w:val="zh-CN" w:bidi="zh-CN"/>
              </w:rPr>
              <w:t>2</w:t>
            </w:r>
          </w:p>
        </w:tc>
        <w:tc>
          <w:tcPr>
            <w:tcW w:w="2651"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ascii="Arial" w:hAnsi="Arial" w:eastAsia="仿宋_GB2312" w:cs="Arial"/>
                <w:snapToGrid w:val="0"/>
                <w:color w:val="000000"/>
                <w:kern w:val="0"/>
                <w:sz w:val="24"/>
                <w:szCs w:val="24"/>
                <w:lang w:val="zh-CN" w:bidi="zh-CN"/>
              </w:rPr>
            </w:pPr>
            <w:r>
              <w:rPr>
                <w:rFonts w:ascii="Arial" w:hAnsi="Arial" w:eastAsia="仿宋_GB2312" w:cs="Arial"/>
                <w:snapToGrid w:val="0"/>
                <w:color w:val="000000"/>
                <w:kern w:val="0"/>
                <w:sz w:val="24"/>
                <w:szCs w:val="24"/>
                <w:lang w:val="zh-CN" w:bidi="zh-CN"/>
              </w:rPr>
              <w:t>山地(绳索)救援</w:t>
            </w:r>
          </w:p>
        </w:tc>
        <w:tc>
          <w:tcPr>
            <w:tcW w:w="998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both"/>
              <w:textAlignment w:val="baseline"/>
              <w:rPr>
                <w:rFonts w:ascii="Arial" w:hAnsi="Arial" w:eastAsia="仿宋_GB2312" w:cs="Arial"/>
                <w:snapToGrid w:val="0"/>
                <w:color w:val="000000"/>
                <w:kern w:val="0"/>
                <w:sz w:val="24"/>
                <w:szCs w:val="24"/>
                <w:lang w:val="zh-CN" w:bidi="zh-CN"/>
              </w:rPr>
            </w:pPr>
            <w:r>
              <w:rPr>
                <w:rFonts w:ascii="Arial" w:hAnsi="Arial" w:eastAsia="仿宋_GB2312" w:cs="Arial"/>
                <w:snapToGrid w:val="0"/>
                <w:color w:val="000000"/>
                <w:kern w:val="0"/>
                <w:sz w:val="24"/>
                <w:szCs w:val="24"/>
                <w:lang w:val="zh-CN" w:bidi="zh-CN"/>
              </w:rPr>
              <w:t>综合分析地形地势，制定救援方案;利用绳索、安全吊带及滑轮、上升器、下降器等辅助救援装备搭建救援系统，搜寻被困人员，并成功处置。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32"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ascii="Arial" w:hAnsi="Arial" w:eastAsia="仿宋_GB2312" w:cs="Arial"/>
                <w:snapToGrid w:val="0"/>
                <w:color w:val="000000"/>
                <w:kern w:val="0"/>
                <w:sz w:val="24"/>
                <w:szCs w:val="24"/>
                <w:lang w:val="zh-CN" w:bidi="zh-CN"/>
              </w:rPr>
            </w:pPr>
            <w:r>
              <w:rPr>
                <w:rFonts w:ascii="Arial" w:hAnsi="Arial" w:eastAsia="仿宋_GB2312" w:cs="Arial"/>
                <w:snapToGrid w:val="0"/>
                <w:color w:val="000000"/>
                <w:kern w:val="0"/>
                <w:sz w:val="24"/>
                <w:szCs w:val="24"/>
                <w:lang w:val="zh-CN" w:bidi="zh-CN"/>
              </w:rPr>
              <w:t>3</w:t>
            </w:r>
          </w:p>
        </w:tc>
        <w:tc>
          <w:tcPr>
            <w:tcW w:w="2651"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ascii="Arial" w:hAnsi="Arial" w:eastAsia="仿宋_GB2312" w:cs="Arial"/>
                <w:snapToGrid w:val="0"/>
                <w:color w:val="000000"/>
                <w:kern w:val="0"/>
                <w:sz w:val="24"/>
                <w:szCs w:val="24"/>
                <w:lang w:val="zh-CN" w:bidi="zh-CN"/>
              </w:rPr>
            </w:pPr>
            <w:r>
              <w:rPr>
                <w:rFonts w:ascii="Arial" w:hAnsi="Arial" w:eastAsia="仿宋_GB2312" w:cs="Arial"/>
                <w:snapToGrid w:val="0"/>
                <w:color w:val="000000"/>
                <w:kern w:val="0"/>
                <w:sz w:val="24"/>
                <w:szCs w:val="24"/>
                <w:lang w:val="zh-CN" w:bidi="zh-CN"/>
              </w:rPr>
              <w:t>危险化学品应急救援</w:t>
            </w:r>
          </w:p>
        </w:tc>
        <w:tc>
          <w:tcPr>
            <w:tcW w:w="998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both"/>
              <w:textAlignment w:val="baseline"/>
              <w:rPr>
                <w:rFonts w:ascii="Arial" w:hAnsi="Arial" w:eastAsia="仿宋_GB2312" w:cs="Arial"/>
                <w:snapToGrid w:val="0"/>
                <w:color w:val="000000"/>
                <w:kern w:val="0"/>
                <w:sz w:val="24"/>
                <w:szCs w:val="24"/>
                <w:lang w:val="zh-CN" w:bidi="zh-CN"/>
              </w:rPr>
            </w:pPr>
            <w:r>
              <w:rPr>
                <w:rFonts w:ascii="Arial" w:hAnsi="Arial" w:eastAsia="仿宋_GB2312" w:cs="Arial"/>
                <w:snapToGrid w:val="0"/>
                <w:color w:val="000000"/>
                <w:kern w:val="0"/>
                <w:sz w:val="24"/>
                <w:szCs w:val="24"/>
                <w:lang w:val="zh-CN" w:bidi="zh-CN"/>
              </w:rPr>
              <w:t>综合分析现场险情，判定危险特性和周边敏感目标，制定救援方案;动态监测可燃、有毒有害危险化学品的浓度、扩散等情况，扑灭现场明火或控制泄漏源与泄漏物，成功营救遇险人员，并科学清除事故现场残留危险化学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32"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ascii="Arial" w:hAnsi="Arial" w:eastAsia="仿宋_GB2312" w:cs="Arial"/>
                <w:snapToGrid w:val="0"/>
                <w:color w:val="000000"/>
                <w:kern w:val="0"/>
                <w:sz w:val="24"/>
                <w:szCs w:val="24"/>
                <w:lang w:val="zh-CN" w:bidi="zh-CN"/>
              </w:rPr>
            </w:pPr>
            <w:r>
              <w:rPr>
                <w:rFonts w:ascii="Arial" w:hAnsi="Arial" w:eastAsia="仿宋_GB2312" w:cs="Arial"/>
                <w:snapToGrid w:val="0"/>
                <w:color w:val="000000"/>
                <w:kern w:val="0"/>
                <w:sz w:val="24"/>
                <w:szCs w:val="24"/>
                <w:lang w:val="zh-CN" w:bidi="zh-CN"/>
              </w:rPr>
              <w:t>4</w:t>
            </w:r>
          </w:p>
        </w:tc>
        <w:tc>
          <w:tcPr>
            <w:tcW w:w="2651"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ascii="Arial" w:hAnsi="Arial" w:eastAsia="仿宋_GB2312" w:cs="Arial"/>
                <w:snapToGrid w:val="0"/>
                <w:color w:val="000000"/>
                <w:kern w:val="0"/>
                <w:sz w:val="24"/>
                <w:szCs w:val="24"/>
                <w:lang w:val="zh-CN" w:bidi="zh-CN"/>
              </w:rPr>
            </w:pPr>
            <w:r>
              <w:rPr>
                <w:rFonts w:ascii="Arial" w:hAnsi="Arial" w:eastAsia="仿宋_GB2312" w:cs="Arial"/>
                <w:snapToGrid w:val="0"/>
                <w:color w:val="000000"/>
                <w:kern w:val="0"/>
                <w:sz w:val="24"/>
                <w:szCs w:val="24"/>
                <w:lang w:val="zh-CN" w:bidi="zh-CN"/>
              </w:rPr>
              <w:t>矿山(隧道)救援</w:t>
            </w:r>
          </w:p>
        </w:tc>
        <w:tc>
          <w:tcPr>
            <w:tcW w:w="998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both"/>
              <w:textAlignment w:val="baseline"/>
              <w:rPr>
                <w:rFonts w:ascii="Arial" w:hAnsi="Arial" w:eastAsia="仿宋_GB2312" w:cs="Arial"/>
                <w:snapToGrid w:val="0"/>
                <w:color w:val="000000"/>
                <w:kern w:val="0"/>
                <w:sz w:val="24"/>
                <w:szCs w:val="24"/>
                <w:lang w:val="zh-CN" w:bidi="zh-CN"/>
              </w:rPr>
            </w:pPr>
            <w:r>
              <w:rPr>
                <w:rFonts w:ascii="Arial" w:hAnsi="Arial" w:eastAsia="仿宋_GB2312" w:cs="Arial"/>
                <w:snapToGrid w:val="0"/>
                <w:color w:val="000000"/>
                <w:kern w:val="0"/>
                <w:sz w:val="24"/>
                <w:szCs w:val="24"/>
                <w:lang w:val="zh-CN" w:bidi="zh-CN"/>
              </w:rPr>
              <w:t>综合分析事故现场塌方、冒顶、掩体、透水等险情，制定救援方案;动态监测通风、有毒有害气体、矿尘、温度和巷道支护等情况，科学调控风流，确定被困人员位置，打通生命通道，并科学处置。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32"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ascii="Arial" w:hAnsi="Arial" w:eastAsia="仿宋_GB2312" w:cs="Arial"/>
                <w:snapToGrid w:val="0"/>
                <w:color w:val="000000"/>
                <w:kern w:val="0"/>
                <w:sz w:val="24"/>
                <w:szCs w:val="24"/>
                <w:lang w:val="zh-CN" w:bidi="zh-CN"/>
              </w:rPr>
            </w:pPr>
            <w:r>
              <w:rPr>
                <w:rFonts w:ascii="Arial" w:hAnsi="Arial" w:eastAsia="仿宋_GB2312" w:cs="Arial"/>
                <w:snapToGrid w:val="0"/>
                <w:color w:val="000000"/>
                <w:kern w:val="0"/>
                <w:sz w:val="24"/>
                <w:szCs w:val="24"/>
                <w:lang w:val="zh-CN" w:bidi="zh-CN"/>
              </w:rPr>
              <w:t>5</w:t>
            </w:r>
          </w:p>
        </w:tc>
        <w:tc>
          <w:tcPr>
            <w:tcW w:w="2651"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ascii="Arial" w:hAnsi="Arial" w:eastAsia="仿宋_GB2312" w:cs="Arial"/>
                <w:snapToGrid w:val="0"/>
                <w:color w:val="000000"/>
                <w:kern w:val="0"/>
                <w:sz w:val="24"/>
                <w:szCs w:val="24"/>
                <w:lang w:val="zh-CN" w:bidi="zh-CN"/>
              </w:rPr>
            </w:pPr>
            <w:r>
              <w:rPr>
                <w:rFonts w:ascii="Arial" w:hAnsi="Arial" w:eastAsia="仿宋_GB2312" w:cs="Arial"/>
                <w:snapToGrid w:val="0"/>
                <w:color w:val="000000"/>
                <w:kern w:val="0"/>
                <w:sz w:val="24"/>
                <w:szCs w:val="24"/>
                <w:lang w:val="zh-CN" w:bidi="zh-CN"/>
              </w:rPr>
              <w:t>水域搜索与救援</w:t>
            </w:r>
          </w:p>
        </w:tc>
        <w:tc>
          <w:tcPr>
            <w:tcW w:w="998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both"/>
              <w:textAlignment w:val="baseline"/>
              <w:rPr>
                <w:rFonts w:ascii="Arial" w:hAnsi="Arial" w:eastAsia="仿宋_GB2312" w:cs="Arial"/>
                <w:snapToGrid w:val="0"/>
                <w:color w:val="000000"/>
                <w:kern w:val="0"/>
                <w:sz w:val="24"/>
                <w:szCs w:val="24"/>
                <w:lang w:val="zh-CN" w:bidi="zh-CN"/>
              </w:rPr>
            </w:pPr>
            <w:r>
              <w:rPr>
                <w:rFonts w:ascii="Arial" w:hAnsi="Arial" w:eastAsia="仿宋_GB2312" w:cs="Arial"/>
                <w:snapToGrid w:val="0"/>
                <w:color w:val="000000"/>
                <w:kern w:val="0"/>
                <w:sz w:val="24"/>
                <w:szCs w:val="24"/>
                <w:lang w:val="zh-CN" w:bidi="zh-CN"/>
              </w:rPr>
              <w:t>根据水域深浅、水面宽度、水流方向和流速、水质条件和坡岸安全性等情况，综合分析险情，制定救援方案;利用绳索、舟艇、潜水等技术对遇险人员或货物实施救助，并成功处置。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32"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ascii="Arial" w:hAnsi="Arial" w:eastAsia="仿宋_GB2312" w:cs="Arial"/>
                <w:snapToGrid w:val="0"/>
                <w:color w:val="000000"/>
                <w:kern w:val="0"/>
                <w:sz w:val="24"/>
                <w:szCs w:val="24"/>
                <w:lang w:val="zh-CN" w:bidi="zh-CN"/>
              </w:rPr>
            </w:pPr>
            <w:r>
              <w:rPr>
                <w:rFonts w:ascii="Arial" w:hAnsi="Arial" w:eastAsia="仿宋_GB2312" w:cs="Arial"/>
                <w:snapToGrid w:val="0"/>
                <w:color w:val="000000"/>
                <w:kern w:val="0"/>
                <w:sz w:val="24"/>
                <w:szCs w:val="24"/>
                <w:lang w:val="zh-CN" w:bidi="zh-CN"/>
              </w:rPr>
              <w:t>6</w:t>
            </w:r>
          </w:p>
        </w:tc>
        <w:tc>
          <w:tcPr>
            <w:tcW w:w="2651"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ascii="Arial" w:hAnsi="Arial" w:eastAsia="仿宋_GB2312" w:cs="Arial"/>
                <w:snapToGrid w:val="0"/>
                <w:color w:val="000000"/>
                <w:kern w:val="0"/>
                <w:sz w:val="24"/>
                <w:szCs w:val="24"/>
                <w:lang w:val="zh-CN" w:bidi="zh-CN"/>
              </w:rPr>
            </w:pPr>
            <w:r>
              <w:rPr>
                <w:rFonts w:ascii="Arial" w:hAnsi="Arial" w:eastAsia="仿宋_GB2312" w:cs="Arial"/>
                <w:snapToGrid w:val="0"/>
                <w:color w:val="000000"/>
                <w:kern w:val="0"/>
                <w:sz w:val="24"/>
                <w:szCs w:val="24"/>
                <w:lang w:val="zh-CN" w:bidi="zh-CN"/>
              </w:rPr>
              <w:t>地质灾害应急救援</w:t>
            </w:r>
          </w:p>
        </w:tc>
        <w:tc>
          <w:tcPr>
            <w:tcW w:w="998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both"/>
              <w:textAlignment w:val="baseline"/>
              <w:rPr>
                <w:rFonts w:ascii="Arial" w:hAnsi="Arial" w:eastAsia="仿宋_GB2312" w:cs="Arial"/>
                <w:snapToGrid w:val="0"/>
                <w:color w:val="000000"/>
                <w:kern w:val="0"/>
                <w:sz w:val="24"/>
                <w:szCs w:val="24"/>
                <w:lang w:val="zh-CN" w:bidi="zh-CN"/>
              </w:rPr>
            </w:pPr>
            <w:r>
              <w:rPr>
                <w:rFonts w:ascii="Arial" w:hAnsi="Arial" w:eastAsia="仿宋_GB2312" w:cs="Arial"/>
                <w:snapToGrid w:val="0"/>
                <w:color w:val="000000"/>
                <w:kern w:val="0"/>
                <w:sz w:val="24"/>
                <w:szCs w:val="24"/>
                <w:lang w:val="zh-CN" w:bidi="zh-CN"/>
              </w:rPr>
              <w:t>实时监测发生崩塌、滑坡、泥石流、地面塌陷等次生地质灾害事故的可能性及危险性，综合分析现场险情，制定救援方案;利用生命探测仪等侦检装备，及时搜寻发现被困人员，采用掘进、顶撑、破拆等技术手段开展救援，并成功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32"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ascii="Arial" w:hAnsi="Arial" w:eastAsia="仿宋_GB2312" w:cs="Arial"/>
                <w:snapToGrid w:val="0"/>
                <w:color w:val="000000"/>
                <w:kern w:val="0"/>
                <w:sz w:val="24"/>
                <w:szCs w:val="24"/>
                <w:lang w:val="zh-CN" w:bidi="zh-CN"/>
              </w:rPr>
            </w:pPr>
            <w:r>
              <w:rPr>
                <w:rFonts w:ascii="Arial" w:hAnsi="Arial" w:eastAsia="仿宋_GB2312" w:cs="Arial"/>
                <w:snapToGrid w:val="0"/>
                <w:color w:val="000000"/>
                <w:kern w:val="0"/>
                <w:sz w:val="24"/>
                <w:szCs w:val="24"/>
                <w:lang w:val="zh-CN" w:bidi="zh-CN"/>
              </w:rPr>
              <w:t>7</w:t>
            </w:r>
          </w:p>
        </w:tc>
        <w:tc>
          <w:tcPr>
            <w:tcW w:w="2651"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ascii="Arial" w:hAnsi="Arial" w:eastAsia="仿宋_GB2312" w:cs="Arial"/>
                <w:snapToGrid w:val="0"/>
                <w:color w:val="000000"/>
                <w:kern w:val="0"/>
                <w:sz w:val="24"/>
                <w:szCs w:val="24"/>
                <w:lang w:val="zh-CN" w:bidi="zh-CN"/>
              </w:rPr>
            </w:pPr>
            <w:r>
              <w:rPr>
                <w:rFonts w:ascii="Arial" w:hAnsi="Arial" w:eastAsia="仿宋_GB2312" w:cs="Arial"/>
                <w:snapToGrid w:val="0"/>
                <w:color w:val="000000"/>
                <w:kern w:val="0"/>
                <w:sz w:val="24"/>
                <w:szCs w:val="24"/>
                <w:lang w:val="zh-CN" w:bidi="zh-CN"/>
              </w:rPr>
              <w:t>森林火灾扑救</w:t>
            </w:r>
          </w:p>
        </w:tc>
        <w:tc>
          <w:tcPr>
            <w:tcW w:w="998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both"/>
              <w:textAlignment w:val="baseline"/>
              <w:rPr>
                <w:rFonts w:ascii="Arial" w:hAnsi="Arial" w:eastAsia="仿宋_GB2312" w:cs="Arial"/>
                <w:snapToGrid w:val="0"/>
                <w:color w:val="000000"/>
                <w:kern w:val="0"/>
                <w:sz w:val="24"/>
                <w:szCs w:val="24"/>
                <w:lang w:val="zh-CN" w:bidi="zh-CN"/>
              </w:rPr>
            </w:pPr>
            <w:r>
              <w:rPr>
                <w:rFonts w:ascii="Arial" w:hAnsi="Arial" w:eastAsia="仿宋_GB2312" w:cs="Arial"/>
                <w:snapToGrid w:val="0"/>
                <w:color w:val="000000"/>
                <w:kern w:val="0"/>
                <w:sz w:val="24"/>
                <w:szCs w:val="24"/>
                <w:lang w:val="zh-CN" w:bidi="zh-CN"/>
              </w:rPr>
              <w:t>根据不同火场环境及火险等级，综合分析火场风向、地势、天气、时间、可燃物及周边敏感目标，研判火势发展方向，制定救援方案;采取地面直接扑火、地面间接灭火、以火灭火、航空灭火、人工增雨灭火等综合扑火技术开展救援行动，并成功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32"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ascii="Arial" w:hAnsi="Arial" w:eastAsia="仿宋_GB2312" w:cs="Arial"/>
                <w:snapToGrid w:val="0"/>
                <w:color w:val="000000"/>
                <w:kern w:val="0"/>
                <w:sz w:val="24"/>
                <w:szCs w:val="24"/>
                <w:lang w:val="zh-CN" w:bidi="zh-CN"/>
              </w:rPr>
            </w:pPr>
            <w:r>
              <w:rPr>
                <w:rFonts w:ascii="Arial" w:hAnsi="Arial" w:eastAsia="仿宋_GB2312" w:cs="Arial"/>
                <w:snapToGrid w:val="0"/>
                <w:color w:val="000000"/>
                <w:kern w:val="0"/>
                <w:sz w:val="24"/>
                <w:szCs w:val="24"/>
                <w:lang w:val="zh-CN" w:bidi="zh-CN"/>
              </w:rPr>
              <w:t>8</w:t>
            </w:r>
          </w:p>
        </w:tc>
        <w:tc>
          <w:tcPr>
            <w:tcW w:w="2651"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center"/>
              <w:textAlignment w:val="baseline"/>
              <w:rPr>
                <w:rFonts w:ascii="Arial" w:hAnsi="Arial" w:eastAsia="仿宋_GB2312" w:cs="Arial"/>
                <w:snapToGrid w:val="0"/>
                <w:color w:val="000000"/>
                <w:kern w:val="0"/>
                <w:sz w:val="24"/>
                <w:szCs w:val="24"/>
                <w:lang w:val="zh-CN" w:bidi="zh-CN"/>
              </w:rPr>
            </w:pPr>
            <w:r>
              <w:rPr>
                <w:rFonts w:ascii="Arial" w:hAnsi="Arial" w:eastAsia="仿宋_GB2312" w:cs="Arial"/>
                <w:snapToGrid w:val="0"/>
                <w:color w:val="000000"/>
                <w:kern w:val="0"/>
                <w:sz w:val="24"/>
                <w:szCs w:val="24"/>
                <w:lang w:val="zh-CN" w:bidi="zh-CN"/>
              </w:rPr>
              <w:t>其他</w:t>
            </w:r>
          </w:p>
        </w:tc>
        <w:tc>
          <w:tcPr>
            <w:tcW w:w="998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0" w:after="0" w:line="320" w:lineRule="exact"/>
              <w:ind w:left="64" w:leftChars="20" w:right="64" w:rightChars="20" w:firstLine="0" w:firstLineChars="0"/>
              <w:jc w:val="both"/>
              <w:textAlignment w:val="baseline"/>
              <w:rPr>
                <w:rFonts w:ascii="Arial" w:hAnsi="Arial" w:eastAsia="仿宋_GB2312" w:cs="Arial"/>
                <w:snapToGrid w:val="0"/>
                <w:color w:val="000000"/>
                <w:kern w:val="0"/>
                <w:sz w:val="24"/>
                <w:szCs w:val="24"/>
                <w:lang w:val="zh-CN" w:bidi="zh-CN"/>
              </w:rPr>
            </w:pPr>
            <w:r>
              <w:rPr>
                <w:rFonts w:ascii="Arial" w:hAnsi="Arial" w:eastAsia="仿宋_GB2312" w:cs="Arial"/>
                <w:snapToGrid w:val="0"/>
                <w:color w:val="000000"/>
                <w:kern w:val="0"/>
                <w:sz w:val="24"/>
                <w:szCs w:val="24"/>
                <w:lang w:val="zh-CN" w:bidi="zh-CN"/>
              </w:rPr>
              <w:t>综合分析研判现场灾情或事故性质程度及范围等情况，制定救援或应急处置方案，对遇险人员或货物实施救助，并成功处置。</w:t>
            </w:r>
          </w:p>
        </w:tc>
      </w:tr>
    </w:tbl>
    <w:p>
      <w:pPr>
        <w:bidi w:val="0"/>
        <w:rPr>
          <w:rFonts w:hint="eastAsia"/>
        </w:rPr>
        <w:sectPr>
          <w:pgSz w:w="16838" w:h="11906" w:orient="landscape"/>
          <w:pgMar w:top="1531" w:right="1701" w:bottom="1531" w:left="1701" w:header="851" w:footer="992" w:gutter="0"/>
          <w:pgNumType w:fmt="decimal"/>
          <w:cols w:space="0" w:num="1"/>
          <w:rtlGutter w:val="0"/>
          <w:docGrid w:type="lines" w:linePitch="312" w:charSpace="0"/>
        </w:sectPr>
      </w:pPr>
    </w:p>
    <w:p>
      <w:pPr>
        <w:bidi w:val="0"/>
        <w:ind w:left="0" w:leftChars="0" w:firstLine="0" w:firstLineChars="0"/>
        <w:rPr>
          <w:rFonts w:hint="eastAsia" w:ascii="黑体" w:hAnsi="黑体" w:eastAsia="黑体" w:cs="黑体"/>
        </w:rPr>
      </w:pPr>
      <w:r>
        <w:rPr>
          <w:rFonts w:hint="eastAsia" w:ascii="黑体" w:hAnsi="黑体" w:eastAsia="黑体" w:cs="黑体"/>
        </w:rPr>
        <w:t>附件2</w:t>
      </w:r>
    </w:p>
    <w:p>
      <w:pPr>
        <w:bidi w:val="0"/>
        <w:rPr>
          <w:rFonts w:hint="eastAsia" w:ascii="黑体" w:hAnsi="黑体" w:eastAsia="黑体" w:cs="黑体"/>
        </w:rPr>
      </w:pPr>
    </w:p>
    <w:p>
      <w:pPr>
        <w:pStyle w:val="5"/>
        <w:bidi w:val="0"/>
        <w:rPr>
          <w:rFonts w:hint="eastAsia"/>
        </w:rPr>
      </w:pPr>
      <w:r>
        <w:rPr>
          <w:rFonts w:hint="eastAsia"/>
        </w:rPr>
        <w:t>申报人员网上操作办法</w:t>
      </w:r>
    </w:p>
    <w:p>
      <w:pPr>
        <w:bidi w:val="0"/>
        <w:rPr>
          <w:rFonts w:hint="eastAsia"/>
        </w:rPr>
      </w:pPr>
    </w:p>
    <w:p>
      <w:pPr>
        <w:bidi w:val="0"/>
        <w:rPr>
          <w:rFonts w:hint="eastAsia"/>
        </w:rPr>
      </w:pPr>
      <w:r>
        <w:rPr>
          <w:rFonts w:hint="eastAsia"/>
        </w:rPr>
        <w:t>申报人员注册、填写、上传的所有内容必须真实规范</w:t>
      </w:r>
      <w:r>
        <w:rPr>
          <w:rFonts w:hint="eastAsia"/>
          <w:lang w:eastAsia="zh-CN"/>
        </w:rPr>
        <w:t>，</w:t>
      </w:r>
      <w:r>
        <w:rPr>
          <w:rFonts w:hint="eastAsia"/>
        </w:rPr>
        <w:t>网上申报具体程序如下：</w:t>
      </w:r>
    </w:p>
    <w:p>
      <w:pPr>
        <w:pStyle w:val="6"/>
        <w:bidi w:val="0"/>
        <w:rPr>
          <w:rFonts w:hint="eastAsia"/>
        </w:rPr>
      </w:pPr>
      <w:r>
        <w:rPr>
          <w:rFonts w:hint="eastAsia"/>
        </w:rPr>
        <w:t>一、完善个人信息和业绩档案库</w:t>
      </w:r>
    </w:p>
    <w:p>
      <w:pPr>
        <w:bidi w:val="0"/>
        <w:rPr>
          <w:rFonts w:hint="eastAsia"/>
        </w:rPr>
      </w:pPr>
      <w:r>
        <w:rPr>
          <w:rFonts w:hint="eastAsia"/>
        </w:rPr>
        <w:t>申报人员登录浙江省专业技术职务任职资格申报与评审管理服务平台（网址：https://zcps.rlsbt.zj.gov.cn）后，分别点击进入“个人基本信息”和“我的业绩档案”菜单，完成有关内容填写和资料上传，经检查无误后，点击“保存”（具体操作详见平台首页的《个人用户操作手册》）。</w:t>
      </w:r>
    </w:p>
    <w:p>
      <w:pPr>
        <w:bidi w:val="0"/>
        <w:rPr>
          <w:rFonts w:hint="eastAsia"/>
        </w:rPr>
      </w:pPr>
      <w:r>
        <w:rPr>
          <w:rFonts w:hint="eastAsia"/>
        </w:rPr>
        <w:t>1.“我的业绩档案”保存后需经用人单位审查通过后才可在申报时提取。</w:t>
      </w:r>
    </w:p>
    <w:p>
      <w:pPr>
        <w:bidi w:val="0"/>
        <w:rPr>
          <w:rFonts w:hint="eastAsia"/>
        </w:rPr>
      </w:pPr>
      <w:r>
        <w:rPr>
          <w:rFonts w:hint="eastAsia"/>
        </w:rPr>
        <w:t>2.若本单位初次使用本平台，需先由单位人事负责人注册用人单位账号，登录并通过本平台提交授权委托证明，绑定单位名称后，本单位申报人员才可填写“个人基本信息/现工作单位名称”信息。</w:t>
      </w:r>
    </w:p>
    <w:p>
      <w:pPr>
        <w:pStyle w:val="6"/>
        <w:bidi w:val="0"/>
        <w:rPr>
          <w:rFonts w:hint="eastAsia"/>
        </w:rPr>
      </w:pPr>
      <w:r>
        <w:rPr>
          <w:rFonts w:hint="eastAsia"/>
        </w:rPr>
        <w:t>二、职称申报</w:t>
      </w:r>
    </w:p>
    <w:p>
      <w:pPr>
        <w:bidi w:val="0"/>
        <w:rPr>
          <w:rFonts w:hint="eastAsia"/>
        </w:rPr>
      </w:pPr>
      <w:r>
        <w:rPr>
          <w:rFonts w:hint="eastAsia"/>
        </w:rPr>
        <w:t>申报人员进入“用户中心首页/中级职称评审”，选择“2022年度应急管理领域工程师职务任职资格评审工作计划”，查看所有要求后，点击最下方的“马上申报”，进入职称评审申报页面:</w:t>
      </w:r>
    </w:p>
    <w:p>
      <w:pPr>
        <w:bidi w:val="0"/>
        <w:rPr>
          <w:rFonts w:hint="eastAsia"/>
        </w:rPr>
      </w:pPr>
      <w:r>
        <w:rPr>
          <w:rStyle w:val="17"/>
          <w:rFonts w:hint="eastAsia"/>
        </w:rPr>
        <w:t>1.上传证件照。</w:t>
      </w:r>
      <w:r>
        <w:rPr>
          <w:rFonts w:hint="eastAsia"/>
        </w:rPr>
        <w:t>照片用于制作职称电子证书，不符合相应要求将无法通过审核。照片格式应为1寸、2寸白底证件照，JPG或JPEG格式，文件大于30K且小于1M，大于215*300（宽*高）像素，照片宽高比大于等于0.65且小于等于0.8。上传后点击“下一步”，进入个人承诺页面。</w:t>
      </w:r>
    </w:p>
    <w:p>
      <w:pPr>
        <w:bidi w:val="0"/>
        <w:rPr>
          <w:rFonts w:hint="eastAsia"/>
        </w:rPr>
      </w:pPr>
      <w:r>
        <w:rPr>
          <w:rStyle w:val="17"/>
          <w:rFonts w:hint="eastAsia"/>
        </w:rPr>
        <w:t>2.签署个人承诺。</w:t>
      </w:r>
      <w:r>
        <w:rPr>
          <w:rFonts w:hint="eastAsia"/>
        </w:rPr>
        <w:t>申报人员对提交的所有材料真实性负责并作出承诺，扫描页面上的二维码，在线签署《专业技术资格申报材料真实性保证书》，字迹要求清晰，签署成功后点击“下一步”，进入“填写申报信息”页面。</w:t>
      </w:r>
    </w:p>
    <w:p>
      <w:pPr>
        <w:bidi w:val="0"/>
        <w:rPr>
          <w:rFonts w:hint="eastAsia"/>
        </w:rPr>
      </w:pPr>
      <w:r>
        <w:rPr>
          <w:rStyle w:val="17"/>
          <w:rFonts w:hint="eastAsia"/>
        </w:rPr>
        <w:t>3.填写申报信息。</w:t>
      </w:r>
      <w:r>
        <w:rPr>
          <w:rFonts w:hint="eastAsia"/>
        </w:rPr>
        <w:t>按要求填报各项申报信息，其中“本人述职”内容为专业工作业绩情况（限1000字以内），并根据用人单位所属关系选择相应的“受理评审委员会”。然后点击“下一步”，进入“选择相关业绩”页面。</w:t>
      </w:r>
    </w:p>
    <w:p>
      <w:pPr>
        <w:bidi w:val="0"/>
        <w:rPr>
          <w:rFonts w:hint="eastAsia"/>
        </w:rPr>
      </w:pPr>
      <w:r>
        <w:rPr>
          <w:rFonts w:hint="eastAsia"/>
        </w:rPr>
        <w:t>（1）若选择“正常申报（含后学历〈学位〉取得时间不满2年、再次通过中级申报）”或“转评”，需在相应选择项打钩；</w:t>
      </w:r>
    </w:p>
    <w:p>
      <w:pPr>
        <w:bidi w:val="0"/>
        <w:rPr>
          <w:rFonts w:hint="eastAsia"/>
        </w:rPr>
      </w:pPr>
      <w:r>
        <w:rPr>
          <w:rFonts w:hint="eastAsia"/>
        </w:rPr>
        <w:t>（2）技能人才申报选择“正常申报”，并上传佐证材料。</w:t>
      </w:r>
    </w:p>
    <w:p>
      <w:pPr>
        <w:bidi w:val="0"/>
        <w:rPr>
          <w:rFonts w:hint="eastAsia"/>
        </w:rPr>
      </w:pPr>
      <w:r>
        <w:rPr>
          <w:rStyle w:val="17"/>
          <w:rFonts w:hint="eastAsia"/>
        </w:rPr>
        <w:t>4.选择相关业绩。</w:t>
      </w:r>
      <w:r>
        <w:rPr>
          <w:rFonts w:hint="eastAsia"/>
        </w:rPr>
        <w:t>根据工程技术专业工程师评审要求，从个人业绩档案库中提取相应业绩材料。工程业绩材料要求突出专业代表性，不宜过多过杂，集体项目须提供本人系主要贡献者依据。完成后点击“下一步”，进入“上传相关附件”页面。</w:t>
      </w:r>
    </w:p>
    <w:p>
      <w:pPr>
        <w:bidi w:val="0"/>
        <w:rPr>
          <w:rFonts w:hint="eastAsia"/>
        </w:rPr>
      </w:pPr>
      <w:r>
        <w:rPr>
          <w:rStyle w:val="17"/>
          <w:rFonts w:hint="eastAsia"/>
        </w:rPr>
        <w:t>5.上传相关附件（扫描件）。</w:t>
      </w:r>
      <w:r>
        <w:rPr>
          <w:rFonts w:hint="eastAsia"/>
        </w:rPr>
        <w:t>根据评审工作计划要求，上传以下附件：</w:t>
      </w:r>
    </w:p>
    <w:p>
      <w:pPr>
        <w:bidi w:val="0"/>
        <w:rPr>
          <w:rFonts w:hint="eastAsia"/>
        </w:rPr>
      </w:pPr>
      <w:r>
        <w:rPr>
          <w:rFonts w:hint="eastAsia"/>
        </w:rPr>
        <w:t>（1）2019、2020、2021、2022年继续教育学时登记证明（通过管理系统打印并每年度满足90学时要求）；</w:t>
      </w:r>
    </w:p>
    <w:p>
      <w:pPr>
        <w:bidi w:val="0"/>
        <w:rPr>
          <w:rFonts w:hint="eastAsia"/>
        </w:rPr>
      </w:pPr>
      <w:r>
        <w:rPr>
          <w:rFonts w:hint="eastAsia"/>
        </w:rPr>
        <w:t>（2）省外社保缴纳证明（适用于近1年内有省外社保缴纳记录人员）；</w:t>
      </w:r>
    </w:p>
    <w:p>
      <w:pPr>
        <w:bidi w:val="0"/>
        <w:rPr>
          <w:rFonts w:hint="eastAsia"/>
        </w:rPr>
      </w:pPr>
      <w:r>
        <w:rPr>
          <w:rFonts w:hint="eastAsia"/>
        </w:rPr>
        <w:t>（3）事业单位人员职称申报岗位信息表（适用于事业单位在编人员，非在编人员需提供单位说明）；</w:t>
      </w:r>
    </w:p>
    <w:p>
      <w:pPr>
        <w:bidi w:val="0"/>
        <w:rPr>
          <w:rFonts w:hint="eastAsia"/>
        </w:rPr>
      </w:pPr>
      <w:r>
        <w:rPr>
          <w:rFonts w:hint="eastAsia"/>
        </w:rPr>
        <w:t>（4）累计5年现任专业技术职务资格聘书（申报当年须在聘）；</w:t>
      </w:r>
    </w:p>
    <w:p>
      <w:pPr>
        <w:bidi w:val="0"/>
        <w:rPr>
          <w:rFonts w:hint="eastAsia"/>
        </w:rPr>
      </w:pPr>
      <w:r>
        <w:rPr>
          <w:rFonts w:hint="eastAsia"/>
        </w:rPr>
        <w:t>（5）学历证书及认证材料（适用于学信网上无法查询学历信息人员，认证材料包括毕业生就业登记表、国外、港澳台学历学位认证书等）。</w:t>
      </w:r>
    </w:p>
    <w:p>
      <w:pPr>
        <w:bidi w:val="0"/>
        <w:rPr>
          <w:rFonts w:hint="eastAsia"/>
        </w:rPr>
      </w:pPr>
      <w:r>
        <w:rPr>
          <w:rFonts w:hint="eastAsia"/>
        </w:rPr>
        <w:t>所有附件确认上传无误后，点击“下一步”，进入“预览确认提交”页面。</w:t>
      </w:r>
    </w:p>
    <w:p>
      <w:pPr>
        <w:bidi w:val="0"/>
        <w:rPr>
          <w:rFonts w:hint="eastAsia"/>
        </w:rPr>
      </w:pPr>
      <w:r>
        <w:rPr>
          <w:rStyle w:val="17"/>
          <w:rFonts w:hint="eastAsia"/>
        </w:rPr>
        <w:t>6.确认申报信息。</w:t>
      </w:r>
      <w:r>
        <w:rPr>
          <w:rFonts w:hint="eastAsia"/>
        </w:rPr>
        <w:t>预览所有申报信息无误后，点击“提交”，由所在单位审核并报所属应急管理主管部门。</w:t>
      </w:r>
    </w:p>
    <w:p>
      <w:pPr>
        <w:bidi w:val="0"/>
        <w:rPr>
          <w:rFonts w:hint="eastAsia"/>
        </w:rPr>
      </w:pPr>
      <w:r>
        <w:rPr>
          <w:rStyle w:val="17"/>
          <w:rFonts w:hint="eastAsia"/>
        </w:rPr>
        <w:t>7.费用缴纳。</w:t>
      </w:r>
      <w:r>
        <w:rPr>
          <w:rFonts w:hint="eastAsia"/>
        </w:rPr>
        <w:t>申报人员根据12333短信提示，在规定时间内完成费用缴纳。</w:t>
      </w:r>
    </w:p>
    <w:p>
      <w:pPr>
        <w:bidi w:val="0"/>
        <w:rPr>
          <w:rFonts w:hint="eastAsia"/>
        </w:rPr>
      </w:pPr>
    </w:p>
    <w:p>
      <w:pPr>
        <w:bidi w:val="0"/>
        <w:rPr>
          <w:rFonts w:hint="eastAsia"/>
        </w:rPr>
      </w:pPr>
    </w:p>
    <w:p>
      <w:pPr>
        <w:bidi w:val="0"/>
        <w:rPr>
          <w:rFonts w:hint="eastAsia"/>
        </w:rPr>
        <w:sectPr>
          <w:pgSz w:w="11906" w:h="16838"/>
          <w:pgMar w:top="1701" w:right="1531" w:bottom="1701" w:left="1531" w:header="851" w:footer="992" w:gutter="0"/>
          <w:pgNumType w:fmt="decimal"/>
          <w:cols w:space="0" w:num="1"/>
          <w:rtlGutter w:val="0"/>
          <w:docGrid w:type="lines" w:linePitch="312" w:charSpace="0"/>
        </w:sectPr>
      </w:pPr>
    </w:p>
    <w:p>
      <w:pPr>
        <w:bidi w:val="0"/>
        <w:ind w:left="0" w:leftChars="0" w:firstLine="0" w:firstLineChars="0"/>
        <w:rPr>
          <w:rFonts w:hint="eastAsia" w:ascii="黑体" w:hAnsi="黑体" w:eastAsia="黑体" w:cs="黑体"/>
        </w:rPr>
      </w:pPr>
      <w:r>
        <w:rPr>
          <w:rFonts w:hint="eastAsia" w:ascii="黑体" w:hAnsi="黑体" w:eastAsia="黑体" w:cs="黑体"/>
        </w:rPr>
        <w:t>附件3</w:t>
      </w:r>
    </w:p>
    <w:p>
      <w:pPr>
        <w:bidi w:val="0"/>
        <w:rPr>
          <w:rFonts w:hint="eastAsia" w:ascii="黑体" w:hAnsi="黑体" w:eastAsia="黑体" w:cs="黑体"/>
        </w:rPr>
      </w:pPr>
    </w:p>
    <w:p>
      <w:pPr>
        <w:pStyle w:val="5"/>
        <w:bidi w:val="0"/>
        <w:rPr>
          <w:rFonts w:hint="eastAsia"/>
        </w:rPr>
      </w:pPr>
      <w:r>
        <w:rPr>
          <w:rFonts w:hint="eastAsia"/>
        </w:rPr>
        <w:t>管理部门网上审核操作办法</w:t>
      </w:r>
    </w:p>
    <w:p>
      <w:pPr>
        <w:bidi w:val="0"/>
        <w:rPr>
          <w:rFonts w:hint="eastAsia"/>
        </w:rPr>
      </w:pPr>
    </w:p>
    <w:p>
      <w:pPr>
        <w:bidi w:val="0"/>
        <w:rPr>
          <w:rFonts w:hint="eastAsia"/>
        </w:rPr>
      </w:pPr>
      <w:r>
        <w:rPr>
          <w:rFonts w:hint="eastAsia"/>
        </w:rPr>
        <w:t>用人单位自行注册账号，有关主管部门和人力社保部门需按照统一分配的账号，登录浙江省专业技术职务任职资格申报与评审管理服务平台，对申报人员的信息进行审核和报送。具体操作办法如下：</w:t>
      </w:r>
    </w:p>
    <w:p>
      <w:pPr>
        <w:pStyle w:val="6"/>
        <w:bidi w:val="0"/>
        <w:rPr>
          <w:rFonts w:hint="eastAsia"/>
        </w:rPr>
      </w:pPr>
      <w:r>
        <w:rPr>
          <w:rFonts w:hint="eastAsia"/>
        </w:rPr>
        <w:t>一、用人单位网上审核操作办法（具体操作详见平台首页的《用人单位操作手册》）</w:t>
      </w:r>
    </w:p>
    <w:p>
      <w:pPr>
        <w:bidi w:val="0"/>
        <w:rPr>
          <w:rFonts w:hint="eastAsia"/>
        </w:rPr>
      </w:pPr>
      <w:r>
        <w:rPr>
          <w:rFonts w:hint="eastAsia"/>
        </w:rPr>
        <w:t>1.登录系统。注册并登录浙江省专业技术职务任职资格申报与评审管理服务平台（https://zcps.rlsbt.zj.gov.cn），系统会显示需要审核的业绩档案信息和职称申报申请。</w:t>
      </w:r>
    </w:p>
    <w:p>
      <w:pPr>
        <w:bidi w:val="0"/>
        <w:rPr>
          <w:rFonts w:hint="eastAsia"/>
        </w:rPr>
      </w:pPr>
      <w:r>
        <w:rPr>
          <w:rFonts w:hint="eastAsia"/>
        </w:rPr>
        <w:t>注：如首次登录，需先提交授权委托证明，系统审核通过后，单位经办人员会收到12333短信提示。</w:t>
      </w:r>
    </w:p>
    <w:p>
      <w:pPr>
        <w:bidi w:val="0"/>
        <w:rPr>
          <w:rFonts w:hint="eastAsia"/>
        </w:rPr>
      </w:pPr>
      <w:r>
        <w:rPr>
          <w:rFonts w:hint="eastAsia"/>
        </w:rPr>
        <w:t>2.业绩档案审核。点击“业绩档案审核/具体姓名”，查看该专业技术人员的业绩详情并审核。</w:t>
      </w:r>
    </w:p>
    <w:p>
      <w:pPr>
        <w:bidi w:val="0"/>
        <w:rPr>
          <w:rFonts w:hint="eastAsia"/>
        </w:rPr>
      </w:pPr>
      <w:r>
        <w:rPr>
          <w:rFonts w:hint="eastAsia"/>
        </w:rPr>
        <w:t>注：申报人员的业绩档案未经所在单位审查通过前，无法进行职称申报。</w:t>
      </w:r>
    </w:p>
    <w:p>
      <w:pPr>
        <w:numPr>
          <w:ilvl w:val="0"/>
          <w:numId w:val="1"/>
        </w:numPr>
        <w:bidi w:val="0"/>
        <w:rPr>
          <w:rFonts w:hint="eastAsia"/>
        </w:rPr>
      </w:pPr>
      <w:r>
        <w:rPr>
          <w:rFonts w:hint="eastAsia"/>
        </w:rPr>
        <w:t>申报资格审核。点击“职称申报资格审查/具体姓名”，查看该申报人员详细申报信息，不具备申报资格的，点击“不通过”并说明理由；资料提供不完整或有误的，点击“退回”并说明理由；符合申报条件的，点击“通过”按钮，并填写审核通过意见。</w:t>
      </w:r>
    </w:p>
    <w:p>
      <w:pPr>
        <w:numPr>
          <w:ilvl w:val="0"/>
          <w:numId w:val="0"/>
        </w:numPr>
        <w:bidi w:val="0"/>
        <w:ind w:firstLine="640" w:firstLineChars="200"/>
        <w:rPr>
          <w:rFonts w:hint="eastAsia"/>
        </w:rPr>
      </w:pPr>
      <w:r>
        <w:rPr>
          <w:rFonts w:hint="eastAsia"/>
        </w:rPr>
        <w:t>4.资格公示并报送。确定所有申报人员审查通过后，导出公示表，将申报人员业绩以适当方式进行不少于5个工作日的公示，确认无意见后，报送所在地主管部门审查。</w:t>
      </w:r>
    </w:p>
    <w:p>
      <w:pPr>
        <w:pStyle w:val="6"/>
        <w:bidi w:val="0"/>
        <w:rPr>
          <w:rFonts w:hint="eastAsia"/>
        </w:rPr>
      </w:pPr>
      <w:r>
        <w:rPr>
          <w:rFonts w:hint="eastAsia"/>
        </w:rPr>
        <w:t>二、地市各级主管部门网上审核操作办法</w:t>
      </w:r>
    </w:p>
    <w:p>
      <w:pPr>
        <w:bidi w:val="0"/>
        <w:rPr>
          <w:rFonts w:hint="eastAsia"/>
        </w:rPr>
      </w:pPr>
      <w:r>
        <w:rPr>
          <w:rFonts w:hint="eastAsia"/>
        </w:rPr>
        <w:t>地市各级主管部门需登录管理服务平台（网址：https://zcps.rlsbt.zj.gov.cn/028/login.jsp），完成相关资格审查工作。</w:t>
      </w:r>
    </w:p>
    <w:p>
      <w:pPr>
        <w:bidi w:val="0"/>
        <w:rPr>
          <w:rFonts w:hint="eastAsia"/>
        </w:rPr>
      </w:pPr>
      <w:r>
        <w:rPr>
          <w:rFonts w:hint="eastAsia"/>
        </w:rPr>
        <w:t>（一）申报人员所在地应急管理主管部门登录申报系统，点击“申报业务管理/职称评审资格审查”，对申报人员的材料进行审查。</w:t>
      </w:r>
    </w:p>
    <w:p>
      <w:pPr>
        <w:bidi w:val="0"/>
        <w:rPr>
          <w:rFonts w:hint="eastAsia"/>
        </w:rPr>
      </w:pPr>
      <w:r>
        <w:rPr>
          <w:rFonts w:hint="eastAsia"/>
        </w:rPr>
        <w:t>1.点击“收费设定”，对系统默认的“收费”选项调整为“不收费”（原则上，地方主管部门除召开初评委会议收取“初推中推荐费”外，其他审核环节不得收取任何费用）。</w:t>
      </w:r>
    </w:p>
    <w:p>
      <w:pPr>
        <w:bidi w:val="0"/>
        <w:rPr>
          <w:rFonts w:hint="eastAsia"/>
        </w:rPr>
      </w:pPr>
      <w:r>
        <w:rPr>
          <w:rFonts w:hint="eastAsia"/>
        </w:rPr>
        <w:t>2.点击“待审查”，对用人单位推荐的申报人员进行资格审查：对不具备申报资格的人员，点击“审查不通过”并说明理由；对资料不完整、有误的人员，点击“退回修改”并说明需完善的内容；对符合申报条件的人员，点击“审查通过”并签署审查意见。</w:t>
      </w:r>
    </w:p>
    <w:p>
      <w:pPr>
        <w:bidi w:val="0"/>
        <w:rPr>
          <w:rFonts w:hint="eastAsia"/>
        </w:rPr>
      </w:pPr>
      <w:r>
        <w:rPr>
          <w:rFonts w:hint="eastAsia"/>
        </w:rPr>
        <w:t>3.所有申报人员审查通过后，点击“审核推荐”，提交当地人力社保部门审查。</w:t>
      </w:r>
    </w:p>
    <w:p>
      <w:pPr>
        <w:bidi w:val="0"/>
        <w:rPr>
          <w:rFonts w:hint="eastAsia"/>
        </w:rPr>
      </w:pPr>
      <w:r>
        <w:rPr>
          <w:rFonts w:hint="eastAsia"/>
        </w:rPr>
        <w:t>（二）当地人力社保部门按照上述操作步骤进行审核推荐，并提交上一级主管部门审查（如是市级单位，此步骤则直接提交至所属中评委办公室审查；如是县级单位，则提交至市级应急管理主管部门、市级人力社保部门审查）。</w:t>
      </w:r>
    </w:p>
    <w:p>
      <w:pPr>
        <w:bidi w:val="0"/>
        <w:rPr>
          <w:rFonts w:hint="eastAsia"/>
        </w:rPr>
      </w:pPr>
      <w:r>
        <w:rPr>
          <w:rFonts w:hint="eastAsia"/>
        </w:rPr>
        <w:t>（三）无主管部门的股份制企业、民营企业中人事档案关系委托人才交流中心代理的，应通过人才交流中心申报，人事档案关系未委托人才交流中心代理的，按属地管理原则直接向当地主管部门申报。</w:t>
      </w:r>
    </w:p>
    <w:p>
      <w:pPr>
        <w:pStyle w:val="6"/>
        <w:bidi w:val="0"/>
        <w:rPr>
          <w:rFonts w:hint="eastAsia"/>
        </w:rPr>
      </w:pPr>
      <w:r>
        <w:rPr>
          <w:rFonts w:hint="eastAsia"/>
        </w:rPr>
        <w:t>三、审查注意事项</w:t>
      </w:r>
    </w:p>
    <w:p>
      <w:pPr>
        <w:bidi w:val="0"/>
        <w:rPr>
          <w:rFonts w:hint="eastAsia"/>
        </w:rPr>
      </w:pPr>
      <w:r>
        <w:rPr>
          <w:rFonts w:hint="eastAsia"/>
        </w:rPr>
        <w:t>1.用人单位本着对申报人员负责、对单位负责的态度，认真及时对本单位申报人员的基础信息、相关业绩档案的真实性和准确性进行审核。因申报材料不符合要求等产生的不利影响由个人和推荐单位负责。</w:t>
      </w:r>
    </w:p>
    <w:p>
      <w:pPr>
        <w:bidi w:val="0"/>
        <w:rPr>
          <w:rFonts w:hint="eastAsia"/>
        </w:rPr>
      </w:pPr>
      <w:r>
        <w:rPr>
          <w:rFonts w:hint="eastAsia"/>
        </w:rPr>
        <w:t>2.各级主管部门应当认真履职，对用人单位推荐的申报材料进行仔细审查。如学历、资历、年度考核、继续教育学时、事业编制人员评聘结合等必备资格条件。对不符合要求或模糊不清的电子材料应退回要求重新填报。系统操作有疑问的，可咨询管理服务系统技术支持联系人。</w:t>
      </w:r>
    </w:p>
    <w:p>
      <w:pPr>
        <w:bidi w:val="0"/>
        <w:rPr>
          <w:rFonts w:hint="eastAsia"/>
        </w:rPr>
        <w:sectPr>
          <w:pgSz w:w="11906" w:h="16838"/>
          <w:pgMar w:top="1701" w:right="1531" w:bottom="1701" w:left="1531" w:header="851" w:footer="992" w:gutter="0"/>
          <w:pgNumType w:fmt="decimal"/>
          <w:cols w:space="0" w:num="1"/>
          <w:rtlGutter w:val="0"/>
          <w:docGrid w:type="lines" w:linePitch="312" w:charSpace="0"/>
        </w:sectPr>
      </w:pPr>
    </w:p>
    <w:p>
      <w:pPr>
        <w:bidi w:val="0"/>
        <w:ind w:left="0" w:leftChars="0" w:firstLine="0" w:firstLineChars="0"/>
        <w:rPr>
          <w:rFonts w:hint="eastAsia" w:ascii="黑体" w:hAnsi="黑体" w:eastAsia="黑体" w:cs="黑体"/>
        </w:rPr>
      </w:pPr>
      <w:r>
        <w:rPr>
          <w:rFonts w:hint="eastAsia" w:ascii="黑体" w:hAnsi="黑体" w:eastAsia="黑体" w:cs="黑体"/>
        </w:rPr>
        <w:t>附件4</w:t>
      </w:r>
    </w:p>
    <w:p>
      <w:pPr>
        <w:bidi w:val="0"/>
        <w:rPr>
          <w:rFonts w:hint="eastAsia" w:ascii="黑体" w:hAnsi="黑体" w:eastAsia="黑体" w:cs="黑体"/>
        </w:rPr>
      </w:pPr>
    </w:p>
    <w:p>
      <w:pPr>
        <w:pStyle w:val="5"/>
        <w:bidi w:val="0"/>
        <w:rPr>
          <w:rFonts w:hint="eastAsia"/>
        </w:rPr>
      </w:pPr>
      <w:r>
        <w:rPr>
          <w:rFonts w:hint="eastAsia"/>
        </w:rPr>
        <w:t>申报材料报送要求</w:t>
      </w:r>
    </w:p>
    <w:p>
      <w:pPr>
        <w:bidi w:val="0"/>
        <w:rPr>
          <w:rFonts w:hint="eastAsia"/>
        </w:rPr>
      </w:pPr>
    </w:p>
    <w:p>
      <w:pPr>
        <w:pStyle w:val="6"/>
        <w:bidi w:val="0"/>
        <w:rPr>
          <w:rFonts w:hint="eastAsia"/>
        </w:rPr>
      </w:pPr>
      <w:r>
        <w:rPr>
          <w:rFonts w:hint="eastAsia"/>
        </w:rPr>
        <w:t>一、县（市、区）及市级有关单位需报送材料</w:t>
      </w:r>
    </w:p>
    <w:p>
      <w:pPr>
        <w:bidi w:val="0"/>
        <w:rPr>
          <w:rFonts w:hint="eastAsia"/>
        </w:rPr>
      </w:pPr>
      <w:r>
        <w:rPr>
          <w:rFonts w:hint="eastAsia"/>
        </w:rPr>
        <w:t>1.评审委托书1份（附件</w:t>
      </w:r>
      <w:r>
        <w:rPr>
          <w:rFonts w:hint="eastAsia"/>
          <w:lang w:val="en-US" w:eastAsia="zh-CN"/>
        </w:rPr>
        <w:t>5</w:t>
      </w:r>
      <w:r>
        <w:rPr>
          <w:rFonts w:hint="eastAsia"/>
        </w:rPr>
        <w:t>）（市级企事业单位由归口主管部门统一送审，无归口主管部门的非公经济组织由市人事代理机构开具评审委托书；县（市、区）由人力社保部门开具评审委托书，无评审委托书一律不予受理）。可通过评审系统上传扫描件。</w:t>
      </w:r>
    </w:p>
    <w:p>
      <w:pPr>
        <w:bidi w:val="0"/>
        <w:rPr>
          <w:rFonts w:hint="eastAsia"/>
        </w:rPr>
      </w:pPr>
      <w:r>
        <w:rPr>
          <w:rFonts w:hint="eastAsia"/>
        </w:rPr>
        <w:t>2.《评委会评审对象资格审查花名册》（附件</w:t>
      </w:r>
      <w:r>
        <w:rPr>
          <w:rFonts w:hint="eastAsia"/>
          <w:lang w:val="en-US" w:eastAsia="zh-CN"/>
        </w:rPr>
        <w:t>8</w:t>
      </w:r>
      <w:r>
        <w:rPr>
          <w:rFonts w:hint="eastAsia"/>
        </w:rPr>
        <w:t>）一式1份，同时报送电子文档（Excel格式），须填写完整、准确，不得空缺。各单位报送评审材料时，务必并须与花名册顺序保持完全一致。</w:t>
      </w:r>
    </w:p>
    <w:p>
      <w:pPr>
        <w:bidi w:val="0"/>
        <w:rPr>
          <w:rFonts w:hint="eastAsia"/>
        </w:rPr>
      </w:pPr>
      <w:r>
        <w:rPr>
          <w:rFonts w:hint="eastAsia"/>
        </w:rPr>
        <w:t>3.带有“浙江省专业技术任职资格申报与评审管理服务平台”水印的《专业技术职务任职资格评审表》，一式4份，一并放入资料袋中</w:t>
      </w:r>
      <w:r>
        <w:rPr>
          <w:rFonts w:hint="eastAsia"/>
          <w:lang w:eastAsia="zh-CN"/>
        </w:rPr>
        <w:t>，</w:t>
      </w:r>
      <w:r>
        <w:rPr>
          <w:rFonts w:hint="eastAsia"/>
        </w:rPr>
        <w:t>贴上封面（附件</w:t>
      </w:r>
      <w:r>
        <w:rPr>
          <w:rFonts w:hint="eastAsia"/>
          <w:lang w:val="en-US" w:eastAsia="zh-CN"/>
        </w:rPr>
        <w:t>6</w:t>
      </w:r>
      <w:r>
        <w:rPr>
          <w:rFonts w:hint="eastAsia"/>
        </w:rPr>
        <w:t>）和标签（附件</w:t>
      </w:r>
      <w:r>
        <w:rPr>
          <w:rFonts w:hint="eastAsia"/>
          <w:lang w:val="en-US" w:eastAsia="zh-CN"/>
        </w:rPr>
        <w:t>7</w:t>
      </w:r>
      <w:r>
        <w:rPr>
          <w:rFonts w:hint="eastAsia"/>
        </w:rPr>
        <w:t>）。</w:t>
      </w:r>
    </w:p>
    <w:p>
      <w:pPr>
        <w:bidi w:val="0"/>
        <w:rPr>
          <w:rFonts w:hint="eastAsia"/>
        </w:rPr>
      </w:pPr>
      <w:r>
        <w:rPr>
          <w:rFonts w:hint="eastAsia"/>
        </w:rPr>
        <w:t>4.注：用人单位所在地人力社保部门网上审核同意后，申报人员自行下载打印，所在单位、各主管部门、人力社保部门签署推荐意见并加盖公章后报台州市应急管理领域中级专业技术资格评审委员会办公室。</w:t>
      </w:r>
    </w:p>
    <w:p>
      <w:pPr>
        <w:pStyle w:val="6"/>
        <w:bidi w:val="0"/>
        <w:rPr>
          <w:rFonts w:hint="eastAsia"/>
        </w:rPr>
      </w:pPr>
      <w:r>
        <w:rPr>
          <w:rFonts w:hint="eastAsia"/>
        </w:rPr>
        <w:t>二、评审对象送审和扫描上传材料</w:t>
      </w:r>
    </w:p>
    <w:p>
      <w:pPr>
        <w:bidi w:val="0"/>
        <w:rPr>
          <w:rFonts w:hint="eastAsia"/>
        </w:rPr>
      </w:pPr>
      <w:r>
        <w:rPr>
          <w:rFonts w:hint="eastAsia"/>
        </w:rPr>
        <w:t>申报人员按《个人用户操作手册》要求，完成注册、登录平台（网址：https://zcps.rlsbt.zj.gov.cn）、完善个人信息、建立业绩档案库后进入职称评审申报页面开展职称申报，还需准备相应材料（</w:t>
      </w:r>
      <w:r>
        <w:rPr>
          <w:rFonts w:hint="eastAsia"/>
          <w:lang w:eastAsia="zh-CN"/>
        </w:rPr>
        <w:t>有关</w:t>
      </w:r>
      <w:r>
        <w:rPr>
          <w:rFonts w:hint="eastAsia"/>
        </w:rPr>
        <w:t>原件经申报单位、当地应急管理主管部门和人力社保部门审核后根据需要适时退还申报对象</w:t>
      </w:r>
      <w:r>
        <w:rPr>
          <w:rFonts w:hint="eastAsia"/>
          <w:lang w:eastAsia="zh-CN"/>
        </w:rPr>
        <w:t>。</w:t>
      </w:r>
      <w:r>
        <w:rPr>
          <w:rFonts w:hint="eastAsia"/>
          <w:lang w:val="en-US" w:eastAsia="zh-CN"/>
        </w:rPr>
        <w:t>佐证材料若涉及复印件的，须在复印件上签署“核对无误”字样，由验证人签名，注明验证时间，并加盖单位公章</w:t>
      </w:r>
      <w:r>
        <w:rPr>
          <w:rFonts w:hint="eastAsia"/>
        </w:rPr>
        <w:t>）：</w:t>
      </w:r>
    </w:p>
    <w:p>
      <w:pPr>
        <w:bidi w:val="0"/>
        <w:rPr>
          <w:rFonts w:hint="eastAsia"/>
        </w:rPr>
      </w:pPr>
      <w:r>
        <w:rPr>
          <w:rFonts w:hint="eastAsia"/>
        </w:rPr>
        <w:t>1.《评委会评审对象资格审查花名册》（附件</w:t>
      </w:r>
      <w:r>
        <w:rPr>
          <w:rFonts w:hint="eastAsia"/>
          <w:lang w:val="en-US" w:eastAsia="zh-CN"/>
        </w:rPr>
        <w:t>8</w:t>
      </w:r>
      <w:r>
        <w:rPr>
          <w:rFonts w:hint="eastAsia"/>
        </w:rPr>
        <w:t>）电子版1份。</w:t>
      </w:r>
    </w:p>
    <w:p>
      <w:pPr>
        <w:bidi w:val="0"/>
        <w:rPr>
          <w:rFonts w:hint="eastAsia"/>
        </w:rPr>
      </w:pPr>
      <w:r>
        <w:rPr>
          <w:rFonts w:hint="eastAsia"/>
        </w:rPr>
        <w:t>2.申报材料资料袋封面1份〔样表见附件</w:t>
      </w:r>
      <w:r>
        <w:rPr>
          <w:rFonts w:hint="eastAsia"/>
          <w:lang w:val="en-US" w:eastAsia="zh-CN"/>
        </w:rPr>
        <w:t>6</w:t>
      </w:r>
      <w:r>
        <w:rPr>
          <w:rFonts w:hint="eastAsia"/>
        </w:rPr>
        <w:t>，贴在档案袋面上，必须完整、准确地写明申报人相关信息：县（市、区）、姓名、单位、手机号、从事专业以及推荐（申报）专业技术资格名称等〕，并在牛皮纸档案袋面上贴一张袋内资料清单。标签2份（附件</w:t>
      </w:r>
      <w:r>
        <w:rPr>
          <w:rFonts w:hint="eastAsia"/>
          <w:lang w:val="en-US" w:eastAsia="zh-CN"/>
        </w:rPr>
        <w:t>7</w:t>
      </w:r>
      <w:r>
        <w:rPr>
          <w:rFonts w:hint="eastAsia"/>
        </w:rPr>
        <w:t>），并在牛皮纸档案袋的外底面和右侧面上贴上注有如下信息的标签：××县（市、区）、姓名、单位、手机号、专业、推荐（申报）专业技术资格名称。</w:t>
      </w:r>
    </w:p>
    <w:p>
      <w:pPr>
        <w:bidi w:val="0"/>
        <w:rPr>
          <w:rFonts w:hint="eastAsia"/>
        </w:rPr>
      </w:pPr>
      <w:r>
        <w:rPr>
          <w:rFonts w:hint="eastAsia"/>
        </w:rPr>
        <w:t>3.带有“浙江省专业技术任职资格申报与评审管理平台”水印的《专业技术职务任职资格评审表》，一式4份，（须贴照片，需用A3纸手册方式正反面打印后中缝装订）。</w:t>
      </w:r>
    </w:p>
    <w:p>
      <w:pPr>
        <w:bidi w:val="0"/>
        <w:rPr>
          <w:rFonts w:hint="eastAsia"/>
        </w:rPr>
      </w:pPr>
      <w:r>
        <w:rPr>
          <w:rFonts w:hint="eastAsia"/>
        </w:rPr>
        <w:t>4.申报对象身份证、现任专业技术资格证书、聘任证书（连续聘任）、学历证书、学位证书、前后学历认证材料（或毕业生登记表）原件。</w:t>
      </w:r>
    </w:p>
    <w:p>
      <w:pPr>
        <w:bidi w:val="0"/>
        <w:rPr>
          <w:rFonts w:hint="eastAsia"/>
        </w:rPr>
      </w:pPr>
      <w:r>
        <w:rPr>
          <w:rFonts w:hint="eastAsia"/>
        </w:rPr>
        <w:t>5.职称外语或计算机应用能力考核合格证书、执（职）业资格证书原件。</w:t>
      </w:r>
    </w:p>
    <w:p>
      <w:pPr>
        <w:bidi w:val="0"/>
        <w:rPr>
          <w:rFonts w:hint="eastAsia"/>
        </w:rPr>
      </w:pPr>
      <w:r>
        <w:rPr>
          <w:rFonts w:hint="eastAsia"/>
        </w:rPr>
        <w:t>6.工程获奖证书原件或经验证盖章的复印件1份，集体项目须提供本人系主要贡献者依据，单位应出具申报人在该工程中的角色、担任的职务、责任和任务等情况的证明，并提供能直接证明申报对象与该获奖项目关系的原始材料原件或经验证盖章的复印件（如：工程技术项目、科研（基金）项目、承包合同等）。</w:t>
      </w:r>
    </w:p>
    <w:p>
      <w:pPr>
        <w:bidi w:val="0"/>
        <w:rPr>
          <w:rFonts w:hint="eastAsia"/>
        </w:rPr>
      </w:pPr>
      <w:r>
        <w:rPr>
          <w:rFonts w:hint="eastAsia"/>
        </w:rPr>
        <w:t>7.个人荣誉证书原件，有不同级别奖项的，按最高级计分，不累计。</w:t>
      </w:r>
    </w:p>
    <w:p>
      <w:pPr>
        <w:bidi w:val="0"/>
        <w:rPr>
          <w:rFonts w:hint="eastAsia"/>
        </w:rPr>
      </w:pPr>
      <w:r>
        <w:rPr>
          <w:rFonts w:hint="eastAsia"/>
        </w:rPr>
        <w:t>8.本人述职，内容为专业工作业绩情况（限1000字以内）。</w:t>
      </w:r>
    </w:p>
    <w:p>
      <w:pPr>
        <w:bidi w:val="0"/>
        <w:rPr>
          <w:rFonts w:hint="eastAsia"/>
        </w:rPr>
      </w:pPr>
      <w:r>
        <w:rPr>
          <w:rFonts w:hint="eastAsia"/>
        </w:rPr>
        <w:t>9.科研、专利、标准、示范等材料原件或经验证的复印件。</w:t>
      </w:r>
    </w:p>
    <w:p>
      <w:pPr>
        <w:bidi w:val="0"/>
        <w:rPr>
          <w:rFonts w:hint="eastAsia"/>
        </w:rPr>
      </w:pPr>
      <w:r>
        <w:rPr>
          <w:rFonts w:hint="eastAsia"/>
        </w:rPr>
        <w:t>10.申报工程师人员一般为近3年（2019-2021）年度考核材料原件。</w:t>
      </w:r>
    </w:p>
    <w:p>
      <w:pPr>
        <w:bidi w:val="0"/>
        <w:rPr>
          <w:rFonts w:hint="eastAsia"/>
        </w:rPr>
      </w:pPr>
      <w:r>
        <w:rPr>
          <w:rFonts w:hint="eastAsia"/>
        </w:rPr>
        <w:t>11.任现职以来的有关著作、论文、项目可行性研究设计报告、成果鉴定材料原件或经验证盖章的复印件1套，并确定一篇代表作。提供的论文复印件，需复印有杂志或著作的封面、刊号、目录及所写文章。项目可行性研究设计报告需提供本人执笔依据。</w:t>
      </w:r>
    </w:p>
    <w:p>
      <w:pPr>
        <w:bidi w:val="0"/>
        <w:rPr>
          <w:rFonts w:hint="eastAsia"/>
        </w:rPr>
      </w:pPr>
      <w:r>
        <w:rPr>
          <w:rFonts w:hint="eastAsia"/>
        </w:rPr>
        <w:t>12.2018-2022年度继续教育学时登记证明（通过台州市继续教育学时管理系统http://jxjy.rsj.zjtz.gov.cn打印）”。</w:t>
      </w:r>
    </w:p>
    <w:p>
      <w:pPr>
        <w:bidi w:val="0"/>
        <w:rPr>
          <w:rFonts w:hint="eastAsia"/>
        </w:rPr>
      </w:pPr>
      <w:r>
        <w:rPr>
          <w:rFonts w:hint="eastAsia"/>
        </w:rPr>
        <w:t>13.其他专业技术（工作）业绩（成果）材料（注明材料名称）。</w:t>
      </w:r>
    </w:p>
    <w:p>
      <w:pPr>
        <w:bidi w:val="0"/>
        <w:rPr>
          <w:rFonts w:hint="eastAsia"/>
        </w:rPr>
      </w:pPr>
      <w:r>
        <w:rPr>
          <w:rFonts w:hint="eastAsia"/>
        </w:rPr>
        <w:t>14.电子照片1份。照片格式应为1寸、2寸白底证件照，JPG或JPEG格式，文件大于30K且小于1M，大于215*300（宽*高）像素，照片宽高比大于等于0.65且小于等于0.8。</w:t>
      </w:r>
    </w:p>
    <w:p>
      <w:pPr>
        <w:pStyle w:val="6"/>
        <w:bidi w:val="0"/>
        <w:rPr>
          <w:rFonts w:hint="eastAsia"/>
        </w:rPr>
      </w:pPr>
      <w:r>
        <w:rPr>
          <w:rFonts w:hint="eastAsia"/>
        </w:rPr>
        <w:t>三、系统填报注意事项</w:t>
      </w:r>
    </w:p>
    <w:p>
      <w:pPr>
        <w:bidi w:val="0"/>
        <w:rPr>
          <w:rFonts w:hint="eastAsia"/>
        </w:rPr>
      </w:pPr>
      <w:r>
        <w:rPr>
          <w:rStyle w:val="17"/>
          <w:rFonts w:hint="eastAsia"/>
        </w:rPr>
        <w:t>1.从事专业栏：</w:t>
      </w:r>
      <w:r>
        <w:rPr>
          <w:rFonts w:hint="eastAsia"/>
        </w:rPr>
        <w:t>指申报相应专业技术资格时所从事的专业，制作资格证书时要打印在证书上“专业名称”栏内，应完整准确填写。</w:t>
      </w:r>
    </w:p>
    <w:p>
      <w:pPr>
        <w:bidi w:val="0"/>
        <w:rPr>
          <w:rFonts w:hint="eastAsia"/>
        </w:rPr>
      </w:pPr>
      <w:r>
        <w:rPr>
          <w:rStyle w:val="17"/>
          <w:rFonts w:hint="eastAsia"/>
        </w:rPr>
        <w:t>2.申报类别：</w:t>
      </w:r>
      <w:r>
        <w:rPr>
          <w:rFonts w:hint="eastAsia"/>
        </w:rPr>
        <w:t>即为申报系统中的申报类型，统一选择“应急管理领域专业技术人员”。</w:t>
      </w:r>
    </w:p>
    <w:p>
      <w:pPr>
        <w:bidi w:val="0"/>
        <w:rPr>
          <w:rFonts w:hint="eastAsia"/>
        </w:rPr>
      </w:pPr>
      <w:r>
        <w:rPr>
          <w:rStyle w:val="17"/>
          <w:rFonts w:hint="eastAsia"/>
        </w:rPr>
        <w:t>3.专业工作年限：</w:t>
      </w:r>
      <w:r>
        <w:rPr>
          <w:rFonts w:hint="eastAsia"/>
        </w:rPr>
        <w:t>是指从事应急管理领域技术工作的年限，须填写实足年限。</w:t>
      </w:r>
    </w:p>
    <w:p>
      <w:pPr>
        <w:bidi w:val="0"/>
        <w:rPr>
          <w:rFonts w:hint="eastAsia"/>
        </w:rPr>
      </w:pPr>
      <w:r>
        <w:rPr>
          <w:rStyle w:val="17"/>
          <w:rFonts w:hint="eastAsia"/>
        </w:rPr>
        <w:t>4.单位考核情况：</w:t>
      </w:r>
      <w:r>
        <w:rPr>
          <w:rFonts w:hint="eastAsia"/>
        </w:rPr>
        <w:t>指任期内考核情况，至少有近3年考核资料；需填逐年考核结果，如“2020合格”、“2021优秀”。</w:t>
      </w:r>
    </w:p>
    <w:p>
      <w:pPr>
        <w:bidi w:val="0"/>
        <w:rPr>
          <w:rFonts w:hint="eastAsia"/>
        </w:rPr>
      </w:pPr>
    </w:p>
    <w:p>
      <w:pPr>
        <w:bidi w:val="0"/>
        <w:rPr>
          <w:rFonts w:hint="eastAsia"/>
        </w:rPr>
      </w:pPr>
    </w:p>
    <w:p>
      <w:pPr>
        <w:bidi w:val="0"/>
        <w:rPr>
          <w:rFonts w:hint="eastAsia"/>
        </w:rPr>
        <w:sectPr>
          <w:pgSz w:w="11906" w:h="16838"/>
          <w:pgMar w:top="1701" w:right="1531" w:bottom="1701" w:left="1531" w:header="851" w:footer="992" w:gutter="0"/>
          <w:pgNumType w:fmt="decimal"/>
          <w:cols w:space="0" w:num="1"/>
          <w:rtlGutter w:val="0"/>
          <w:docGrid w:type="lines" w:linePitch="312" w:charSpace="0"/>
        </w:sectPr>
      </w:pPr>
    </w:p>
    <w:p>
      <w:pPr>
        <w:bidi w:val="0"/>
        <w:ind w:left="0" w:leftChars="0" w:firstLine="0" w:firstLineChars="0"/>
        <w:rPr>
          <w:rFonts w:hint="eastAsia" w:ascii="黑体" w:hAnsi="黑体" w:eastAsia="黑体" w:cs="黑体"/>
        </w:rPr>
      </w:pPr>
      <w:r>
        <w:rPr>
          <w:rFonts w:hint="eastAsia" w:ascii="黑体" w:hAnsi="黑体" w:eastAsia="黑体" w:cs="黑体"/>
        </w:rPr>
        <w:t>附件5</w:t>
      </w:r>
    </w:p>
    <w:p>
      <w:pPr>
        <w:bidi w:val="0"/>
        <w:rPr>
          <w:rFonts w:hint="eastAsia" w:ascii="黑体" w:hAnsi="黑体" w:eastAsia="黑体" w:cs="黑体"/>
        </w:rPr>
      </w:pPr>
    </w:p>
    <w:p>
      <w:pPr>
        <w:pStyle w:val="5"/>
        <w:bidi w:val="0"/>
        <w:rPr>
          <w:rFonts w:hint="eastAsia"/>
        </w:rPr>
      </w:pPr>
      <w:r>
        <w:rPr>
          <w:rFonts w:hint="eastAsia"/>
        </w:rPr>
        <w:t>专业技术资格委托评审书</w:t>
      </w:r>
    </w:p>
    <w:p>
      <w:pPr>
        <w:bidi w:val="0"/>
        <w:rPr>
          <w:rFonts w:hint="eastAsia"/>
        </w:rPr>
      </w:pPr>
    </w:p>
    <w:p>
      <w:pPr>
        <w:bidi w:val="0"/>
        <w:ind w:left="0" w:leftChars="0" w:firstLine="0" w:firstLineChars="0"/>
        <w:rPr>
          <w:rFonts w:hint="eastAsia"/>
        </w:rPr>
      </w:pPr>
      <w:r>
        <w:rPr>
          <w:rFonts w:ascii="Times New Roman" w:eastAsia="Times New Roman"/>
          <w:u w:val="single"/>
        </w:rPr>
        <w:tab/>
      </w:r>
      <w:r>
        <w:rPr>
          <w:rFonts w:hint="eastAsia" w:ascii="Times New Roman" w:eastAsia="宋体"/>
          <w:u w:val="single"/>
          <w:lang w:val="en-US" w:eastAsia="zh-CN"/>
        </w:rPr>
        <w:t xml:space="preserve">                 </w:t>
      </w:r>
      <w:r>
        <w:rPr>
          <w:rFonts w:hint="eastAsia"/>
        </w:rPr>
        <w:t>专业技术资格评审委员会：</w:t>
      </w:r>
    </w:p>
    <w:p>
      <w:pPr>
        <w:bidi w:val="0"/>
        <w:rPr>
          <w:rFonts w:hint="default" w:eastAsia="仿宋_GB2312"/>
          <w:lang w:val="en-US" w:eastAsia="zh-CN"/>
        </w:rPr>
      </w:pPr>
      <w:r>
        <w:rPr>
          <w:rFonts w:hint="eastAsia"/>
        </w:rPr>
        <w:t>按照职称评审有关规定和评审条件及有关委托评审的通知精神，经研究，同意委托</w:t>
      </w:r>
      <w:r>
        <w:rPr>
          <w:rFonts w:hint="eastAsia"/>
          <w:u w:val="single"/>
        </w:rPr>
        <w:tab/>
      </w:r>
      <w:r>
        <w:rPr>
          <w:rFonts w:hint="eastAsia"/>
          <w:u w:val="single"/>
          <w:lang w:val="en-US" w:eastAsia="zh-CN"/>
        </w:rPr>
        <w:t xml:space="preserve">                                </w:t>
      </w:r>
    </w:p>
    <w:p>
      <w:pPr>
        <w:bidi w:val="0"/>
        <w:ind w:left="0" w:leftChars="0" w:firstLine="0" w:firstLineChars="0"/>
        <w:rPr>
          <w:rFonts w:hint="eastAsia"/>
        </w:rPr>
      </w:pPr>
      <w:r>
        <w:rPr>
          <w:rFonts w:hint="eastAsia"/>
        </w:rPr>
        <w:t>等</w:t>
      </w:r>
      <w:r>
        <w:rPr>
          <w:rFonts w:hint="eastAsia"/>
          <w:u w:val="single"/>
          <w:lang w:val="en-US" w:eastAsia="zh-CN"/>
        </w:rPr>
        <w:t xml:space="preserve">               </w:t>
      </w:r>
      <w:r>
        <w:rPr>
          <w:rFonts w:hint="eastAsia"/>
        </w:rPr>
        <w:t>人评审工程师资格。请予评审为盼！</w:t>
      </w:r>
    </w:p>
    <w:p>
      <w:pPr>
        <w:bidi w:val="0"/>
        <w:rPr>
          <w:rFonts w:hint="eastAsia"/>
        </w:rPr>
      </w:pPr>
    </w:p>
    <w:p>
      <w:pPr>
        <w:bidi w:val="0"/>
        <w:rPr>
          <w:rFonts w:hint="eastAsia"/>
        </w:rPr>
      </w:pPr>
      <w:r>
        <w:rPr>
          <w:rFonts w:hint="eastAsia"/>
        </w:rPr>
        <w:t>附：《专业技术资格委托评审名册》（</w:t>
      </w:r>
      <w:r>
        <w:rPr>
          <w:rFonts w:hint="eastAsia"/>
        </w:rPr>
        <w:tab/>
      </w:r>
      <w:r>
        <w:rPr>
          <w:rFonts w:hint="eastAsia"/>
        </w:rPr>
        <w:t>）名</w:t>
      </w:r>
    </w:p>
    <w:p>
      <w:pPr>
        <w:bidi w:val="0"/>
        <w:rPr>
          <w:rFonts w:hint="eastAsia"/>
        </w:rPr>
      </w:pPr>
    </w:p>
    <w:p>
      <w:pPr>
        <w:bidi w:val="0"/>
        <w:rPr>
          <w:rFonts w:hint="eastAsia"/>
        </w:rPr>
      </w:pPr>
    </w:p>
    <w:p>
      <w:pPr>
        <w:bidi w:val="0"/>
        <w:rPr>
          <w:rFonts w:hint="eastAsia"/>
        </w:rPr>
      </w:pPr>
    </w:p>
    <w:p>
      <w:pPr>
        <w:wordWrap w:val="0"/>
        <w:bidi w:val="0"/>
        <w:jc w:val="right"/>
        <w:rPr>
          <w:rFonts w:hint="default" w:eastAsia="仿宋_GB2312"/>
          <w:lang w:val="en-US" w:eastAsia="zh-CN"/>
        </w:rPr>
      </w:pPr>
      <w:r>
        <w:rPr>
          <w:rFonts w:hint="eastAsia"/>
        </w:rPr>
        <w:t>（单位盖章）</w:t>
      </w:r>
      <w:r>
        <w:rPr>
          <w:rFonts w:hint="eastAsia"/>
          <w:lang w:val="en-US" w:eastAsia="zh-CN"/>
        </w:rPr>
        <w:t xml:space="preserve">             </w:t>
      </w:r>
    </w:p>
    <w:p>
      <w:pPr>
        <w:wordWrap w:val="0"/>
        <w:bidi w:val="0"/>
        <w:jc w:val="right"/>
        <w:rPr>
          <w:rFonts w:hint="eastAsia"/>
          <w:lang w:val="en-US" w:eastAsia="zh-CN"/>
        </w:rPr>
        <w:sectPr>
          <w:pgSz w:w="11906" w:h="16838"/>
          <w:pgMar w:top="1701" w:right="1531" w:bottom="1701" w:left="1531" w:header="851" w:footer="992" w:gutter="0"/>
          <w:pgNumType w:fmt="decimal"/>
          <w:cols w:space="0" w:num="1"/>
          <w:rtlGutter w:val="0"/>
          <w:docGrid w:type="lines" w:linePitch="312" w:charSpace="0"/>
        </w:sectPr>
      </w:pPr>
      <w:r>
        <w:rPr>
          <w:rFonts w:hint="eastAsia"/>
        </w:rPr>
        <w:t>年</w:t>
      </w:r>
      <w:r>
        <w:rPr>
          <w:rFonts w:hint="eastAsia"/>
        </w:rPr>
        <w:tab/>
      </w:r>
      <w:r>
        <w:rPr>
          <w:rFonts w:hint="eastAsia"/>
        </w:rPr>
        <w:t>月</w:t>
      </w:r>
      <w:r>
        <w:rPr>
          <w:rFonts w:hint="eastAsia"/>
        </w:rPr>
        <w:tab/>
      </w:r>
      <w:r>
        <w:rPr>
          <w:rFonts w:hint="eastAsia"/>
        </w:rPr>
        <w:t>日</w:t>
      </w:r>
      <w:r>
        <w:rPr>
          <w:rFonts w:hint="eastAsia"/>
          <w:lang w:val="en-US" w:eastAsia="zh-CN"/>
        </w:rPr>
        <w:t xml:space="preserve">      </w:t>
      </w:r>
    </w:p>
    <w:p>
      <w:pPr>
        <w:bidi w:val="0"/>
        <w:ind w:left="0" w:leftChars="0" w:firstLine="0" w:firstLineChars="0"/>
        <w:rPr>
          <w:rFonts w:hint="eastAsia" w:ascii="黑体" w:hAnsi="黑体" w:eastAsia="黑体" w:cs="黑体"/>
          <w:lang w:val="en-US" w:eastAsia="zh-CN"/>
        </w:rPr>
      </w:pPr>
      <w:r>
        <w:rPr>
          <w:rFonts w:hint="eastAsia" w:ascii="黑体" w:hAnsi="黑体" w:eastAsia="黑体" w:cs="黑体"/>
          <w:lang w:val="en-US" w:eastAsia="zh-CN"/>
        </w:rPr>
        <w:t>附件6</w:t>
      </w:r>
    </w:p>
    <w:p>
      <w:pPr>
        <w:bidi w:val="0"/>
        <w:rPr>
          <w:rFonts w:hint="eastAsia" w:ascii="黑体" w:hAnsi="黑体" w:eastAsia="黑体" w:cs="黑体"/>
          <w:lang w:val="en-US" w:eastAsia="zh-CN"/>
        </w:rPr>
      </w:pPr>
    </w:p>
    <w:p>
      <w:pPr>
        <w:pStyle w:val="5"/>
        <w:bidi w:val="0"/>
        <w:rPr>
          <w:rFonts w:hint="default"/>
          <w:lang w:val="en-US" w:eastAsia="zh-CN"/>
        </w:rPr>
      </w:pPr>
      <w:r>
        <w:rPr>
          <w:rFonts w:hint="default"/>
          <w:lang w:val="en-US" w:eastAsia="zh-CN"/>
        </w:rPr>
        <w:t>申报材料袋封面</w:t>
      </w:r>
    </w:p>
    <w:p>
      <w:pPr>
        <w:rPr>
          <w:rFonts w:hint="default"/>
          <w:lang w:val="en-US" w:eastAsia="zh-CN"/>
        </w:rPr>
      </w:pPr>
    </w:p>
    <w:tbl>
      <w:tblPr>
        <w:tblStyle w:val="12"/>
        <w:tblW w:w="88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8"/>
        <w:gridCol w:w="2059"/>
        <w:gridCol w:w="2229"/>
        <w:gridCol w:w="720"/>
        <w:gridCol w:w="425"/>
        <w:gridCol w:w="1143"/>
        <w:gridCol w:w="1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947" w:type="dxa"/>
            <w:gridSpan w:val="2"/>
            <w:tcBorders>
              <w:top w:val="nil"/>
              <w:left w:val="nil"/>
              <w:bottom w:val="nil"/>
              <w:right w:val="nil"/>
            </w:tcBorders>
            <w:vAlign w:val="center"/>
          </w:tcPr>
          <w:p>
            <w:pPr>
              <w:pStyle w:val="18"/>
              <w:bidi w:val="0"/>
              <w:jc w:val="left"/>
            </w:pPr>
            <w:r>
              <w:rPr>
                <w:rFonts w:hint="eastAsia"/>
              </w:rPr>
              <w:t>姓</w:t>
            </w:r>
            <w:r>
              <w:rPr>
                <w:rFonts w:hint="eastAsia"/>
              </w:rPr>
              <w:tab/>
            </w:r>
            <w:r>
              <w:rPr>
                <w:rFonts w:hint="eastAsia"/>
              </w:rPr>
              <w:t>名：</w:t>
            </w:r>
          </w:p>
        </w:tc>
        <w:tc>
          <w:tcPr>
            <w:tcW w:w="2949" w:type="dxa"/>
            <w:gridSpan w:val="2"/>
            <w:tcBorders>
              <w:top w:val="nil"/>
              <w:left w:val="nil"/>
              <w:bottom w:val="nil"/>
              <w:right w:val="nil"/>
            </w:tcBorders>
            <w:vAlign w:val="center"/>
          </w:tcPr>
          <w:p>
            <w:pPr>
              <w:pStyle w:val="18"/>
              <w:bidi w:val="0"/>
              <w:jc w:val="left"/>
            </w:pPr>
            <w:r>
              <w:rPr>
                <w:rFonts w:hint="eastAsia"/>
              </w:rPr>
              <w:t>单</w:t>
            </w:r>
            <w:r>
              <w:rPr>
                <w:rFonts w:hint="eastAsia"/>
              </w:rPr>
              <w:tab/>
            </w:r>
            <w:r>
              <w:rPr>
                <w:rFonts w:hint="eastAsia"/>
              </w:rPr>
              <w:t>位：</w:t>
            </w:r>
          </w:p>
        </w:tc>
        <w:tc>
          <w:tcPr>
            <w:tcW w:w="2948" w:type="dxa"/>
            <w:gridSpan w:val="3"/>
            <w:tcBorders>
              <w:top w:val="nil"/>
              <w:left w:val="nil"/>
              <w:bottom w:val="nil"/>
              <w:right w:val="nil"/>
            </w:tcBorders>
            <w:vAlign w:val="center"/>
          </w:tcPr>
          <w:p>
            <w:pPr>
              <w:pStyle w:val="18"/>
              <w:bidi w:val="0"/>
              <w:jc w:val="left"/>
            </w:pPr>
            <w:r>
              <w:rPr>
                <w:rFonts w:hint="eastAsia"/>
              </w:rPr>
              <w:t>手</w:t>
            </w:r>
            <w:r>
              <w:rPr>
                <w:rFonts w:hint="eastAsia"/>
              </w:rPr>
              <w:tab/>
            </w:r>
            <w:r>
              <w:rPr>
                <w:rFonts w:hint="eastAsia"/>
              </w:rPr>
              <w:t>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896" w:type="dxa"/>
            <w:gridSpan w:val="4"/>
            <w:tcBorders>
              <w:top w:val="nil"/>
              <w:left w:val="nil"/>
              <w:bottom w:val="single" w:color="auto" w:sz="4" w:space="0"/>
              <w:right w:val="nil"/>
            </w:tcBorders>
            <w:vAlign w:val="center"/>
          </w:tcPr>
          <w:p>
            <w:pPr>
              <w:pStyle w:val="18"/>
              <w:bidi w:val="0"/>
            </w:pPr>
            <w:r>
              <w:rPr>
                <w:rFonts w:hint="eastAsia"/>
                <w:lang w:eastAsia="zh-CN"/>
              </w:rPr>
              <w:t>申</w:t>
            </w:r>
            <w:r>
              <w:rPr>
                <w:rFonts w:hint="eastAsia"/>
              </w:rPr>
              <w:t>报评审专业：</w:t>
            </w:r>
          </w:p>
        </w:tc>
        <w:tc>
          <w:tcPr>
            <w:tcW w:w="2948" w:type="dxa"/>
            <w:gridSpan w:val="3"/>
            <w:tcBorders>
              <w:top w:val="nil"/>
              <w:left w:val="nil"/>
              <w:bottom w:val="single" w:color="auto" w:sz="4" w:space="0"/>
              <w:right w:val="nil"/>
            </w:tcBorders>
            <w:vAlign w:val="center"/>
          </w:tcPr>
          <w:p>
            <w:pPr>
              <w:pStyle w:val="18"/>
              <w:bidi w:val="0"/>
            </w:pPr>
            <w:r>
              <w:rPr>
                <w:rFonts w:hint="eastAsia"/>
              </w:rPr>
              <w:t>县（市、区）：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pStyle w:val="18"/>
              <w:bidi w:val="0"/>
              <w:jc w:val="center"/>
            </w:pPr>
            <w:r>
              <w:t>顺序号</w:t>
            </w:r>
          </w:p>
        </w:tc>
        <w:tc>
          <w:tcPr>
            <w:tcW w:w="4288" w:type="dxa"/>
            <w:gridSpan w:val="2"/>
            <w:tcBorders>
              <w:top w:val="single" w:color="auto" w:sz="4" w:space="0"/>
              <w:left w:val="single" w:color="auto" w:sz="4" w:space="0"/>
              <w:bottom w:val="single" w:color="auto" w:sz="4" w:space="0"/>
              <w:right w:val="single" w:color="auto" w:sz="4" w:space="0"/>
            </w:tcBorders>
            <w:vAlign w:val="center"/>
          </w:tcPr>
          <w:p>
            <w:pPr>
              <w:pStyle w:val="18"/>
              <w:bidi w:val="0"/>
              <w:jc w:val="center"/>
            </w:pPr>
            <w:r>
              <w:t>材</w:t>
            </w:r>
            <w:r>
              <w:tab/>
            </w:r>
            <w:r>
              <w:t>料</w:t>
            </w:r>
            <w:r>
              <w:tab/>
            </w:r>
            <w:r>
              <w:t>名</w:t>
            </w:r>
            <w:r>
              <w:tab/>
            </w:r>
            <w:r>
              <w:t>称</w:t>
            </w:r>
          </w:p>
        </w:tc>
        <w:tc>
          <w:tcPr>
            <w:tcW w:w="1145" w:type="dxa"/>
            <w:gridSpan w:val="2"/>
            <w:tcBorders>
              <w:top w:val="single" w:color="auto" w:sz="4" w:space="0"/>
              <w:left w:val="single" w:color="auto" w:sz="4" w:space="0"/>
              <w:bottom w:val="single" w:color="auto" w:sz="4" w:space="0"/>
              <w:right w:val="single" w:color="auto" w:sz="4" w:space="0"/>
            </w:tcBorders>
            <w:vAlign w:val="center"/>
          </w:tcPr>
          <w:p>
            <w:pPr>
              <w:pStyle w:val="18"/>
              <w:bidi w:val="0"/>
              <w:jc w:val="center"/>
            </w:pPr>
            <w:r>
              <w:t>装订材料</w:t>
            </w:r>
          </w:p>
          <w:p>
            <w:pPr>
              <w:pStyle w:val="18"/>
              <w:bidi w:val="0"/>
              <w:jc w:val="center"/>
            </w:pPr>
            <w:r>
              <w:t>（份数）</w:t>
            </w:r>
          </w:p>
        </w:tc>
        <w:tc>
          <w:tcPr>
            <w:tcW w:w="1143" w:type="dxa"/>
            <w:tcBorders>
              <w:top w:val="single" w:color="auto" w:sz="4" w:space="0"/>
              <w:left w:val="single" w:color="auto" w:sz="4" w:space="0"/>
              <w:bottom w:val="single" w:color="auto" w:sz="4" w:space="0"/>
              <w:right w:val="single" w:color="auto" w:sz="4" w:space="0"/>
            </w:tcBorders>
            <w:vAlign w:val="center"/>
          </w:tcPr>
          <w:p>
            <w:pPr>
              <w:pStyle w:val="18"/>
              <w:bidi w:val="0"/>
              <w:jc w:val="center"/>
            </w:pPr>
            <w:r>
              <w:t>散装材料</w:t>
            </w:r>
          </w:p>
          <w:p>
            <w:pPr>
              <w:pStyle w:val="18"/>
              <w:bidi w:val="0"/>
              <w:jc w:val="center"/>
            </w:pPr>
            <w:r>
              <w:t>（份数）</w:t>
            </w:r>
          </w:p>
        </w:tc>
        <w:tc>
          <w:tcPr>
            <w:tcW w:w="1380" w:type="dxa"/>
            <w:tcBorders>
              <w:top w:val="single" w:color="auto" w:sz="4" w:space="0"/>
              <w:left w:val="single" w:color="auto" w:sz="4" w:space="0"/>
              <w:bottom w:val="single" w:color="auto" w:sz="4" w:space="0"/>
              <w:right w:val="single" w:color="auto" w:sz="4" w:space="0"/>
            </w:tcBorders>
            <w:vAlign w:val="center"/>
          </w:tcPr>
          <w:p>
            <w:pPr>
              <w:pStyle w:val="18"/>
              <w:bidi w:val="0"/>
              <w:jc w:val="center"/>
            </w:pPr>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88" w:type="dxa"/>
            <w:tcBorders>
              <w:top w:val="single" w:color="auto" w:sz="4" w:space="0"/>
            </w:tcBorders>
            <w:vAlign w:val="center"/>
          </w:tcPr>
          <w:p>
            <w:pPr>
              <w:pStyle w:val="18"/>
              <w:bidi w:val="0"/>
              <w:jc w:val="center"/>
            </w:pPr>
            <w:r>
              <w:t>1</w:t>
            </w:r>
          </w:p>
        </w:tc>
        <w:tc>
          <w:tcPr>
            <w:tcW w:w="4288" w:type="dxa"/>
            <w:gridSpan w:val="2"/>
            <w:tcBorders>
              <w:top w:val="single" w:color="auto" w:sz="4" w:space="0"/>
            </w:tcBorders>
            <w:vAlign w:val="center"/>
          </w:tcPr>
          <w:p>
            <w:pPr>
              <w:pStyle w:val="18"/>
              <w:bidi w:val="0"/>
              <w:jc w:val="center"/>
            </w:pPr>
            <w:r>
              <w:t>专业技术职务任职资格评审表原件</w:t>
            </w:r>
          </w:p>
        </w:tc>
        <w:tc>
          <w:tcPr>
            <w:tcW w:w="1145" w:type="dxa"/>
            <w:gridSpan w:val="2"/>
            <w:tcBorders>
              <w:top w:val="single" w:color="auto" w:sz="4" w:space="0"/>
            </w:tcBorders>
            <w:vAlign w:val="center"/>
          </w:tcPr>
          <w:p>
            <w:pPr>
              <w:pStyle w:val="18"/>
              <w:bidi w:val="0"/>
              <w:jc w:val="center"/>
            </w:pPr>
            <w:r>
              <w:t>×</w:t>
            </w:r>
          </w:p>
        </w:tc>
        <w:tc>
          <w:tcPr>
            <w:tcW w:w="1143" w:type="dxa"/>
            <w:tcBorders>
              <w:top w:val="single" w:color="auto" w:sz="4" w:space="0"/>
            </w:tcBorders>
            <w:vAlign w:val="center"/>
          </w:tcPr>
          <w:p>
            <w:pPr>
              <w:pStyle w:val="18"/>
              <w:bidi w:val="0"/>
              <w:jc w:val="center"/>
            </w:pPr>
          </w:p>
        </w:tc>
        <w:tc>
          <w:tcPr>
            <w:tcW w:w="1380" w:type="dxa"/>
            <w:tcBorders>
              <w:top w:val="single" w:color="auto" w:sz="4" w:space="0"/>
            </w:tcBorders>
            <w:vAlign w:val="center"/>
          </w:tcPr>
          <w:p>
            <w:pPr>
              <w:pStyle w:val="18"/>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88" w:type="dxa"/>
            <w:vAlign w:val="center"/>
          </w:tcPr>
          <w:p>
            <w:pPr>
              <w:pStyle w:val="18"/>
              <w:bidi w:val="0"/>
              <w:jc w:val="center"/>
            </w:pPr>
            <w:r>
              <w:t>2</w:t>
            </w:r>
          </w:p>
        </w:tc>
        <w:tc>
          <w:tcPr>
            <w:tcW w:w="4288" w:type="dxa"/>
            <w:gridSpan w:val="2"/>
            <w:vAlign w:val="center"/>
          </w:tcPr>
          <w:p>
            <w:pPr>
              <w:pStyle w:val="18"/>
              <w:bidi w:val="0"/>
              <w:jc w:val="center"/>
            </w:pPr>
            <w:r>
              <w:t>论文著作复印件</w:t>
            </w:r>
          </w:p>
        </w:tc>
        <w:tc>
          <w:tcPr>
            <w:tcW w:w="1145" w:type="dxa"/>
            <w:gridSpan w:val="2"/>
            <w:vAlign w:val="center"/>
          </w:tcPr>
          <w:p>
            <w:pPr>
              <w:pStyle w:val="18"/>
              <w:bidi w:val="0"/>
              <w:jc w:val="center"/>
            </w:pPr>
            <w:r>
              <w:t>×</w:t>
            </w:r>
          </w:p>
        </w:tc>
        <w:tc>
          <w:tcPr>
            <w:tcW w:w="1143" w:type="dxa"/>
            <w:vAlign w:val="center"/>
          </w:tcPr>
          <w:p>
            <w:pPr>
              <w:pStyle w:val="18"/>
              <w:bidi w:val="0"/>
              <w:jc w:val="center"/>
            </w:pPr>
          </w:p>
        </w:tc>
        <w:tc>
          <w:tcPr>
            <w:tcW w:w="1380" w:type="dxa"/>
            <w:vAlign w:val="center"/>
          </w:tcPr>
          <w:p>
            <w:pPr>
              <w:pStyle w:val="18"/>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88" w:type="dxa"/>
            <w:vAlign w:val="center"/>
          </w:tcPr>
          <w:p>
            <w:pPr>
              <w:pStyle w:val="18"/>
              <w:bidi w:val="0"/>
              <w:jc w:val="center"/>
            </w:pPr>
          </w:p>
        </w:tc>
        <w:tc>
          <w:tcPr>
            <w:tcW w:w="4288" w:type="dxa"/>
            <w:gridSpan w:val="2"/>
            <w:vAlign w:val="center"/>
          </w:tcPr>
          <w:p>
            <w:pPr>
              <w:pStyle w:val="18"/>
              <w:bidi w:val="0"/>
              <w:jc w:val="center"/>
            </w:pPr>
          </w:p>
        </w:tc>
        <w:tc>
          <w:tcPr>
            <w:tcW w:w="1145" w:type="dxa"/>
            <w:gridSpan w:val="2"/>
            <w:vAlign w:val="center"/>
          </w:tcPr>
          <w:p>
            <w:pPr>
              <w:pStyle w:val="18"/>
              <w:bidi w:val="0"/>
              <w:jc w:val="center"/>
            </w:pPr>
          </w:p>
        </w:tc>
        <w:tc>
          <w:tcPr>
            <w:tcW w:w="1143" w:type="dxa"/>
            <w:vAlign w:val="center"/>
          </w:tcPr>
          <w:p>
            <w:pPr>
              <w:pStyle w:val="18"/>
              <w:bidi w:val="0"/>
              <w:jc w:val="center"/>
            </w:pPr>
          </w:p>
        </w:tc>
        <w:tc>
          <w:tcPr>
            <w:tcW w:w="1380" w:type="dxa"/>
            <w:vAlign w:val="center"/>
          </w:tcPr>
          <w:p>
            <w:pPr>
              <w:pStyle w:val="18"/>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88" w:type="dxa"/>
            <w:vAlign w:val="center"/>
          </w:tcPr>
          <w:p>
            <w:pPr>
              <w:pStyle w:val="18"/>
              <w:bidi w:val="0"/>
              <w:jc w:val="center"/>
            </w:pPr>
          </w:p>
        </w:tc>
        <w:tc>
          <w:tcPr>
            <w:tcW w:w="4288" w:type="dxa"/>
            <w:gridSpan w:val="2"/>
            <w:vAlign w:val="center"/>
          </w:tcPr>
          <w:p>
            <w:pPr>
              <w:pStyle w:val="18"/>
              <w:bidi w:val="0"/>
              <w:jc w:val="center"/>
            </w:pPr>
          </w:p>
        </w:tc>
        <w:tc>
          <w:tcPr>
            <w:tcW w:w="1145" w:type="dxa"/>
            <w:gridSpan w:val="2"/>
            <w:vAlign w:val="center"/>
          </w:tcPr>
          <w:p>
            <w:pPr>
              <w:pStyle w:val="18"/>
              <w:bidi w:val="0"/>
              <w:jc w:val="center"/>
            </w:pPr>
          </w:p>
        </w:tc>
        <w:tc>
          <w:tcPr>
            <w:tcW w:w="1143" w:type="dxa"/>
            <w:vAlign w:val="center"/>
          </w:tcPr>
          <w:p>
            <w:pPr>
              <w:pStyle w:val="18"/>
              <w:bidi w:val="0"/>
              <w:jc w:val="center"/>
            </w:pPr>
          </w:p>
        </w:tc>
        <w:tc>
          <w:tcPr>
            <w:tcW w:w="1380" w:type="dxa"/>
            <w:vAlign w:val="center"/>
          </w:tcPr>
          <w:p>
            <w:pPr>
              <w:pStyle w:val="18"/>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88" w:type="dxa"/>
            <w:vAlign w:val="center"/>
          </w:tcPr>
          <w:p>
            <w:pPr>
              <w:pStyle w:val="18"/>
              <w:bidi w:val="0"/>
              <w:jc w:val="center"/>
            </w:pPr>
          </w:p>
        </w:tc>
        <w:tc>
          <w:tcPr>
            <w:tcW w:w="4288" w:type="dxa"/>
            <w:gridSpan w:val="2"/>
            <w:vAlign w:val="center"/>
          </w:tcPr>
          <w:p>
            <w:pPr>
              <w:pStyle w:val="18"/>
              <w:bidi w:val="0"/>
              <w:jc w:val="center"/>
            </w:pPr>
          </w:p>
        </w:tc>
        <w:tc>
          <w:tcPr>
            <w:tcW w:w="1145" w:type="dxa"/>
            <w:gridSpan w:val="2"/>
            <w:vAlign w:val="center"/>
          </w:tcPr>
          <w:p>
            <w:pPr>
              <w:pStyle w:val="18"/>
              <w:bidi w:val="0"/>
              <w:jc w:val="center"/>
            </w:pPr>
          </w:p>
        </w:tc>
        <w:tc>
          <w:tcPr>
            <w:tcW w:w="1143" w:type="dxa"/>
            <w:vAlign w:val="center"/>
          </w:tcPr>
          <w:p>
            <w:pPr>
              <w:pStyle w:val="18"/>
              <w:bidi w:val="0"/>
              <w:jc w:val="center"/>
            </w:pPr>
          </w:p>
        </w:tc>
        <w:tc>
          <w:tcPr>
            <w:tcW w:w="1380" w:type="dxa"/>
            <w:vAlign w:val="center"/>
          </w:tcPr>
          <w:p>
            <w:pPr>
              <w:pStyle w:val="18"/>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88" w:type="dxa"/>
            <w:vAlign w:val="center"/>
          </w:tcPr>
          <w:p>
            <w:pPr>
              <w:pStyle w:val="18"/>
              <w:bidi w:val="0"/>
              <w:jc w:val="center"/>
            </w:pPr>
          </w:p>
        </w:tc>
        <w:tc>
          <w:tcPr>
            <w:tcW w:w="4288" w:type="dxa"/>
            <w:gridSpan w:val="2"/>
            <w:vAlign w:val="center"/>
          </w:tcPr>
          <w:p>
            <w:pPr>
              <w:pStyle w:val="18"/>
              <w:bidi w:val="0"/>
              <w:jc w:val="center"/>
            </w:pPr>
          </w:p>
        </w:tc>
        <w:tc>
          <w:tcPr>
            <w:tcW w:w="1145" w:type="dxa"/>
            <w:gridSpan w:val="2"/>
            <w:vAlign w:val="center"/>
          </w:tcPr>
          <w:p>
            <w:pPr>
              <w:pStyle w:val="18"/>
              <w:bidi w:val="0"/>
              <w:jc w:val="center"/>
            </w:pPr>
          </w:p>
        </w:tc>
        <w:tc>
          <w:tcPr>
            <w:tcW w:w="1143" w:type="dxa"/>
            <w:vAlign w:val="center"/>
          </w:tcPr>
          <w:p>
            <w:pPr>
              <w:pStyle w:val="18"/>
              <w:bidi w:val="0"/>
              <w:jc w:val="center"/>
            </w:pPr>
          </w:p>
        </w:tc>
        <w:tc>
          <w:tcPr>
            <w:tcW w:w="1380" w:type="dxa"/>
            <w:vAlign w:val="center"/>
          </w:tcPr>
          <w:p>
            <w:pPr>
              <w:pStyle w:val="18"/>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88" w:type="dxa"/>
            <w:vAlign w:val="center"/>
          </w:tcPr>
          <w:p>
            <w:pPr>
              <w:pStyle w:val="18"/>
              <w:bidi w:val="0"/>
              <w:jc w:val="center"/>
            </w:pPr>
          </w:p>
        </w:tc>
        <w:tc>
          <w:tcPr>
            <w:tcW w:w="4288" w:type="dxa"/>
            <w:gridSpan w:val="2"/>
            <w:vAlign w:val="center"/>
          </w:tcPr>
          <w:p>
            <w:pPr>
              <w:pStyle w:val="18"/>
              <w:bidi w:val="0"/>
              <w:jc w:val="center"/>
            </w:pPr>
          </w:p>
        </w:tc>
        <w:tc>
          <w:tcPr>
            <w:tcW w:w="1145" w:type="dxa"/>
            <w:gridSpan w:val="2"/>
            <w:vAlign w:val="center"/>
          </w:tcPr>
          <w:p>
            <w:pPr>
              <w:pStyle w:val="18"/>
              <w:bidi w:val="0"/>
              <w:jc w:val="center"/>
            </w:pPr>
          </w:p>
        </w:tc>
        <w:tc>
          <w:tcPr>
            <w:tcW w:w="1143" w:type="dxa"/>
            <w:vAlign w:val="center"/>
          </w:tcPr>
          <w:p>
            <w:pPr>
              <w:pStyle w:val="18"/>
              <w:bidi w:val="0"/>
              <w:jc w:val="center"/>
            </w:pPr>
          </w:p>
        </w:tc>
        <w:tc>
          <w:tcPr>
            <w:tcW w:w="1380" w:type="dxa"/>
            <w:vAlign w:val="center"/>
          </w:tcPr>
          <w:p>
            <w:pPr>
              <w:pStyle w:val="18"/>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88" w:type="dxa"/>
            <w:vAlign w:val="center"/>
          </w:tcPr>
          <w:p>
            <w:pPr>
              <w:pStyle w:val="18"/>
              <w:bidi w:val="0"/>
              <w:jc w:val="center"/>
            </w:pPr>
          </w:p>
        </w:tc>
        <w:tc>
          <w:tcPr>
            <w:tcW w:w="4288" w:type="dxa"/>
            <w:gridSpan w:val="2"/>
            <w:vAlign w:val="center"/>
          </w:tcPr>
          <w:p>
            <w:pPr>
              <w:pStyle w:val="18"/>
              <w:bidi w:val="0"/>
              <w:jc w:val="center"/>
            </w:pPr>
          </w:p>
        </w:tc>
        <w:tc>
          <w:tcPr>
            <w:tcW w:w="1145" w:type="dxa"/>
            <w:gridSpan w:val="2"/>
            <w:vAlign w:val="center"/>
          </w:tcPr>
          <w:p>
            <w:pPr>
              <w:pStyle w:val="18"/>
              <w:bidi w:val="0"/>
              <w:jc w:val="center"/>
            </w:pPr>
          </w:p>
        </w:tc>
        <w:tc>
          <w:tcPr>
            <w:tcW w:w="1143" w:type="dxa"/>
            <w:vAlign w:val="center"/>
          </w:tcPr>
          <w:p>
            <w:pPr>
              <w:pStyle w:val="18"/>
              <w:bidi w:val="0"/>
              <w:jc w:val="center"/>
            </w:pPr>
          </w:p>
        </w:tc>
        <w:tc>
          <w:tcPr>
            <w:tcW w:w="1380" w:type="dxa"/>
            <w:vAlign w:val="center"/>
          </w:tcPr>
          <w:p>
            <w:pPr>
              <w:pStyle w:val="18"/>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88" w:type="dxa"/>
            <w:vAlign w:val="center"/>
          </w:tcPr>
          <w:p>
            <w:pPr>
              <w:pStyle w:val="18"/>
              <w:bidi w:val="0"/>
              <w:jc w:val="center"/>
            </w:pPr>
          </w:p>
        </w:tc>
        <w:tc>
          <w:tcPr>
            <w:tcW w:w="4288" w:type="dxa"/>
            <w:gridSpan w:val="2"/>
            <w:vAlign w:val="center"/>
          </w:tcPr>
          <w:p>
            <w:pPr>
              <w:pStyle w:val="18"/>
              <w:bidi w:val="0"/>
              <w:jc w:val="center"/>
            </w:pPr>
          </w:p>
        </w:tc>
        <w:tc>
          <w:tcPr>
            <w:tcW w:w="1145" w:type="dxa"/>
            <w:gridSpan w:val="2"/>
            <w:vAlign w:val="center"/>
          </w:tcPr>
          <w:p>
            <w:pPr>
              <w:pStyle w:val="18"/>
              <w:bidi w:val="0"/>
              <w:jc w:val="center"/>
            </w:pPr>
          </w:p>
        </w:tc>
        <w:tc>
          <w:tcPr>
            <w:tcW w:w="1143" w:type="dxa"/>
            <w:vAlign w:val="center"/>
          </w:tcPr>
          <w:p>
            <w:pPr>
              <w:pStyle w:val="18"/>
              <w:bidi w:val="0"/>
              <w:jc w:val="center"/>
            </w:pPr>
          </w:p>
        </w:tc>
        <w:tc>
          <w:tcPr>
            <w:tcW w:w="1380" w:type="dxa"/>
            <w:vAlign w:val="center"/>
          </w:tcPr>
          <w:p>
            <w:pPr>
              <w:pStyle w:val="18"/>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88" w:type="dxa"/>
            <w:vAlign w:val="center"/>
          </w:tcPr>
          <w:p>
            <w:pPr>
              <w:pStyle w:val="18"/>
              <w:bidi w:val="0"/>
              <w:jc w:val="center"/>
            </w:pPr>
          </w:p>
        </w:tc>
        <w:tc>
          <w:tcPr>
            <w:tcW w:w="4288" w:type="dxa"/>
            <w:gridSpan w:val="2"/>
            <w:vAlign w:val="center"/>
          </w:tcPr>
          <w:p>
            <w:pPr>
              <w:pStyle w:val="18"/>
              <w:bidi w:val="0"/>
              <w:jc w:val="center"/>
            </w:pPr>
          </w:p>
        </w:tc>
        <w:tc>
          <w:tcPr>
            <w:tcW w:w="1145" w:type="dxa"/>
            <w:gridSpan w:val="2"/>
            <w:vAlign w:val="center"/>
          </w:tcPr>
          <w:p>
            <w:pPr>
              <w:pStyle w:val="18"/>
              <w:bidi w:val="0"/>
              <w:jc w:val="center"/>
            </w:pPr>
          </w:p>
        </w:tc>
        <w:tc>
          <w:tcPr>
            <w:tcW w:w="1143" w:type="dxa"/>
            <w:vAlign w:val="center"/>
          </w:tcPr>
          <w:p>
            <w:pPr>
              <w:pStyle w:val="18"/>
              <w:bidi w:val="0"/>
              <w:jc w:val="center"/>
            </w:pPr>
          </w:p>
        </w:tc>
        <w:tc>
          <w:tcPr>
            <w:tcW w:w="1380" w:type="dxa"/>
            <w:vAlign w:val="center"/>
          </w:tcPr>
          <w:p>
            <w:pPr>
              <w:pStyle w:val="18"/>
              <w:bidi w:val="0"/>
              <w:jc w:val="center"/>
            </w:pPr>
          </w:p>
        </w:tc>
      </w:tr>
    </w:tbl>
    <w:p>
      <w:pPr>
        <w:keepNext w:val="0"/>
        <w:keepLines w:val="0"/>
        <w:pageBreakBefore w:val="0"/>
        <w:widowControl w:val="0"/>
        <w:kinsoku/>
        <w:wordWrap/>
        <w:overflowPunct/>
        <w:topLinePunct/>
        <w:autoSpaceDE/>
        <w:autoSpaceDN/>
        <w:bidi w:val="0"/>
        <w:adjustRightInd w:val="0"/>
        <w:snapToGrid w:val="0"/>
        <w:spacing w:line="400" w:lineRule="exact"/>
        <w:ind w:left="480" w:leftChars="0" w:hanging="480" w:hangingChars="200"/>
        <w:textAlignment w:val="auto"/>
        <w:rPr>
          <w:rFonts w:hint="eastAsia"/>
          <w:sz w:val="24"/>
          <w:szCs w:val="20"/>
        </w:rPr>
        <w:sectPr>
          <w:pgSz w:w="11906" w:h="16838"/>
          <w:pgMar w:top="1701" w:right="1531" w:bottom="1701" w:left="1531" w:header="851" w:footer="992" w:gutter="0"/>
          <w:pgNumType w:fmt="decimal"/>
          <w:cols w:space="0" w:num="1"/>
          <w:rtlGutter w:val="0"/>
          <w:docGrid w:type="lines" w:linePitch="312" w:charSpace="0"/>
        </w:sectPr>
      </w:pPr>
      <w:r>
        <w:rPr>
          <w:rFonts w:hint="eastAsia"/>
          <w:sz w:val="24"/>
          <w:szCs w:val="20"/>
        </w:rPr>
        <w:t>注：请参照申报材料清单填写。在相应位置打“√”并注明材料份数；已打“×”为不需提供材料，并将此表张贴在个人申报材料资料袋面上。</w:t>
      </w:r>
    </w:p>
    <w:p>
      <w:pPr>
        <w:bidi w:val="0"/>
        <w:ind w:left="0" w:leftChars="0" w:firstLine="0" w:firstLineChars="0"/>
        <w:rPr>
          <w:rFonts w:hint="eastAsia" w:ascii="黑体" w:hAnsi="黑体" w:eastAsia="黑体" w:cs="黑体"/>
        </w:rPr>
      </w:pPr>
      <w:r>
        <w:rPr>
          <w:rFonts w:hint="eastAsia" w:ascii="黑体" w:hAnsi="黑体" w:eastAsia="黑体" w:cs="黑体"/>
        </w:rPr>
        <w:t>附件7</w:t>
      </w:r>
    </w:p>
    <w:p>
      <w:pPr>
        <w:bidi w:val="0"/>
        <w:rPr>
          <w:rFonts w:hint="eastAsia" w:ascii="黑体" w:hAnsi="黑体" w:eastAsia="黑体" w:cs="黑体"/>
        </w:rPr>
      </w:pPr>
    </w:p>
    <w:p>
      <w:pPr>
        <w:pStyle w:val="5"/>
        <w:bidi w:val="0"/>
        <w:rPr>
          <w:rFonts w:hint="eastAsia"/>
        </w:rPr>
      </w:pPr>
      <w:r>
        <w:rPr>
          <w:rFonts w:hint="eastAsia"/>
        </w:rPr>
        <w:t>申报材料档案袋标签</w:t>
      </w:r>
    </w:p>
    <w:p>
      <w:pPr>
        <w:rPr>
          <w:rFonts w:hint="eastAsia"/>
        </w:rPr>
      </w:pPr>
    </w:p>
    <w:tbl>
      <w:tblPr>
        <w:tblStyle w:val="12"/>
        <w:tblW w:w="6411" w:type="dxa"/>
        <w:tblInd w:w="13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8"/>
        <w:gridCol w:w="2958"/>
        <w:gridCol w:w="17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738" w:type="dxa"/>
            <w:vAlign w:val="center"/>
          </w:tcPr>
          <w:p>
            <w:pPr>
              <w:pStyle w:val="18"/>
              <w:bidi w:val="0"/>
              <w:jc w:val="center"/>
              <w:rPr>
                <w:rFonts w:hint="eastAsia"/>
                <w:lang w:val="zh-CN" w:eastAsia="zh-CN"/>
              </w:rPr>
            </w:pPr>
            <w:r>
              <w:rPr>
                <w:rFonts w:hint="eastAsia"/>
                <w:lang w:val="zh-CN" w:eastAsia="zh-CN"/>
              </w:rPr>
              <w:t>县市区名称</w:t>
            </w:r>
          </w:p>
        </w:tc>
        <w:tc>
          <w:tcPr>
            <w:tcW w:w="2958" w:type="dxa"/>
            <w:vMerge w:val="restart"/>
            <w:tcBorders>
              <w:top w:val="nil"/>
            </w:tcBorders>
            <w:vAlign w:val="center"/>
          </w:tcPr>
          <w:p>
            <w:pPr>
              <w:pStyle w:val="18"/>
              <w:bidi w:val="0"/>
              <w:jc w:val="center"/>
              <w:rPr>
                <w:lang w:val="zh-CN" w:eastAsia="zh-CN"/>
              </w:rPr>
            </w:pPr>
          </w:p>
        </w:tc>
        <w:tc>
          <w:tcPr>
            <w:tcW w:w="1715" w:type="dxa"/>
            <w:vAlign w:val="center"/>
          </w:tcPr>
          <w:p>
            <w:pPr>
              <w:pStyle w:val="18"/>
              <w:bidi w:val="0"/>
              <w:jc w:val="center"/>
              <w:rPr>
                <w:rFonts w:hint="eastAsia"/>
                <w:lang w:val="zh-CN" w:eastAsia="zh-CN"/>
              </w:rPr>
            </w:pPr>
            <w:r>
              <w:rPr>
                <w:rFonts w:hint="eastAsia"/>
                <w:lang w:val="zh-CN" w:eastAsia="zh-CN"/>
              </w:rPr>
              <w:t>县市区名称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1738" w:type="dxa"/>
            <w:vAlign w:val="center"/>
          </w:tcPr>
          <w:p>
            <w:pPr>
              <w:pStyle w:val="18"/>
              <w:bidi w:val="0"/>
              <w:jc w:val="center"/>
              <w:rPr>
                <w:lang w:val="zh-CN" w:eastAsia="zh-CN"/>
              </w:rPr>
            </w:pPr>
          </w:p>
        </w:tc>
        <w:tc>
          <w:tcPr>
            <w:tcW w:w="2958" w:type="dxa"/>
            <w:vMerge w:val="continue"/>
            <w:tcBorders>
              <w:top w:val="nil"/>
            </w:tcBorders>
            <w:vAlign w:val="center"/>
          </w:tcPr>
          <w:p>
            <w:pPr>
              <w:pStyle w:val="18"/>
              <w:bidi w:val="0"/>
              <w:jc w:val="center"/>
              <w:rPr>
                <w:lang w:val="zh-CN"/>
              </w:rPr>
            </w:pPr>
          </w:p>
        </w:tc>
        <w:tc>
          <w:tcPr>
            <w:tcW w:w="1715" w:type="dxa"/>
            <w:vAlign w:val="center"/>
          </w:tcPr>
          <w:p>
            <w:pPr>
              <w:pStyle w:val="18"/>
              <w:bidi w:val="0"/>
              <w:jc w:val="center"/>
              <w:rPr>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738" w:type="dxa"/>
            <w:vAlign w:val="center"/>
          </w:tcPr>
          <w:p>
            <w:pPr>
              <w:pStyle w:val="18"/>
              <w:bidi w:val="0"/>
              <w:jc w:val="center"/>
              <w:rPr>
                <w:rFonts w:hint="eastAsia"/>
                <w:lang w:val="zh-CN" w:eastAsia="zh-CN"/>
              </w:rPr>
            </w:pPr>
            <w:r>
              <w:rPr>
                <w:rFonts w:hint="eastAsia"/>
                <w:lang w:val="zh-CN" w:eastAsia="zh-CN"/>
              </w:rPr>
              <w:t>单位全称</w:t>
            </w:r>
          </w:p>
        </w:tc>
        <w:tc>
          <w:tcPr>
            <w:tcW w:w="2958" w:type="dxa"/>
            <w:vMerge w:val="continue"/>
            <w:tcBorders>
              <w:top w:val="nil"/>
            </w:tcBorders>
            <w:vAlign w:val="center"/>
          </w:tcPr>
          <w:p>
            <w:pPr>
              <w:pStyle w:val="18"/>
              <w:bidi w:val="0"/>
              <w:jc w:val="center"/>
              <w:rPr>
                <w:lang w:val="zh-CN"/>
              </w:rPr>
            </w:pPr>
          </w:p>
        </w:tc>
        <w:tc>
          <w:tcPr>
            <w:tcW w:w="1715" w:type="dxa"/>
            <w:vAlign w:val="center"/>
          </w:tcPr>
          <w:p>
            <w:pPr>
              <w:pStyle w:val="18"/>
              <w:bidi w:val="0"/>
              <w:jc w:val="center"/>
              <w:rPr>
                <w:rFonts w:hint="eastAsia"/>
                <w:lang w:val="zh-CN" w:eastAsia="zh-CN"/>
              </w:rPr>
            </w:pPr>
            <w:r>
              <w:rPr>
                <w:rFonts w:hint="eastAsia"/>
                <w:lang w:val="zh-CN" w:eastAsia="zh-CN"/>
              </w:rPr>
              <w:t>单位全称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1738" w:type="dxa"/>
            <w:vAlign w:val="center"/>
          </w:tcPr>
          <w:p>
            <w:pPr>
              <w:pStyle w:val="18"/>
              <w:bidi w:val="0"/>
              <w:jc w:val="center"/>
              <w:rPr>
                <w:lang w:val="zh-CN" w:eastAsia="zh-CN"/>
              </w:rPr>
            </w:pPr>
          </w:p>
        </w:tc>
        <w:tc>
          <w:tcPr>
            <w:tcW w:w="2958" w:type="dxa"/>
            <w:vMerge w:val="continue"/>
            <w:tcBorders>
              <w:top w:val="nil"/>
            </w:tcBorders>
            <w:vAlign w:val="center"/>
          </w:tcPr>
          <w:p>
            <w:pPr>
              <w:pStyle w:val="18"/>
              <w:bidi w:val="0"/>
              <w:jc w:val="center"/>
              <w:rPr>
                <w:lang w:val="zh-CN"/>
              </w:rPr>
            </w:pPr>
          </w:p>
        </w:tc>
        <w:tc>
          <w:tcPr>
            <w:tcW w:w="1715" w:type="dxa"/>
            <w:vAlign w:val="center"/>
          </w:tcPr>
          <w:p>
            <w:pPr>
              <w:pStyle w:val="18"/>
              <w:bidi w:val="0"/>
              <w:jc w:val="center"/>
              <w:rPr>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738" w:type="dxa"/>
            <w:vAlign w:val="center"/>
          </w:tcPr>
          <w:p>
            <w:pPr>
              <w:pStyle w:val="18"/>
              <w:bidi w:val="0"/>
              <w:jc w:val="center"/>
              <w:rPr>
                <w:rFonts w:hint="eastAsia"/>
                <w:lang w:val="zh-CN" w:eastAsia="zh-CN"/>
              </w:rPr>
            </w:pPr>
            <w:r>
              <w:rPr>
                <w:rFonts w:hint="eastAsia"/>
                <w:lang w:val="zh-CN" w:eastAsia="zh-CN"/>
              </w:rPr>
              <w:t>姓</w:t>
            </w:r>
            <w:r>
              <w:rPr>
                <w:rFonts w:hint="eastAsia"/>
                <w:lang w:val="zh-CN" w:eastAsia="zh-CN"/>
              </w:rPr>
              <w:tab/>
            </w:r>
            <w:r>
              <w:rPr>
                <w:rFonts w:hint="eastAsia"/>
                <w:lang w:val="zh-CN" w:eastAsia="zh-CN"/>
              </w:rPr>
              <w:t>名</w:t>
            </w:r>
          </w:p>
        </w:tc>
        <w:tc>
          <w:tcPr>
            <w:tcW w:w="2958" w:type="dxa"/>
            <w:vMerge w:val="continue"/>
            <w:tcBorders>
              <w:top w:val="nil"/>
            </w:tcBorders>
            <w:vAlign w:val="center"/>
          </w:tcPr>
          <w:p>
            <w:pPr>
              <w:pStyle w:val="18"/>
              <w:bidi w:val="0"/>
              <w:jc w:val="center"/>
              <w:rPr>
                <w:lang w:val="zh-CN"/>
              </w:rPr>
            </w:pPr>
          </w:p>
        </w:tc>
        <w:tc>
          <w:tcPr>
            <w:tcW w:w="1715" w:type="dxa"/>
            <w:vAlign w:val="center"/>
          </w:tcPr>
          <w:p>
            <w:pPr>
              <w:pStyle w:val="18"/>
              <w:bidi w:val="0"/>
              <w:jc w:val="center"/>
              <w:rPr>
                <w:rFonts w:hint="eastAsia"/>
                <w:lang w:val="zh-CN" w:eastAsia="zh-CN"/>
              </w:rPr>
            </w:pPr>
            <w:r>
              <w:rPr>
                <w:rFonts w:hint="eastAsia"/>
                <w:lang w:val="zh-CN" w:eastAsia="zh-CN"/>
              </w:rPr>
              <w:t>姓</w:t>
            </w:r>
            <w:r>
              <w:rPr>
                <w:rFonts w:hint="eastAsia"/>
                <w:lang w:val="zh-CN" w:eastAsia="zh-CN"/>
              </w:rPr>
              <w:tab/>
            </w:r>
            <w:r>
              <w:rPr>
                <w:rFonts w:hint="eastAsia"/>
                <w:lang w:val="zh-CN" w:eastAsia="zh-CN"/>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1738" w:type="dxa"/>
            <w:vAlign w:val="center"/>
          </w:tcPr>
          <w:p>
            <w:pPr>
              <w:pStyle w:val="18"/>
              <w:bidi w:val="0"/>
              <w:jc w:val="center"/>
              <w:rPr>
                <w:lang w:val="zh-CN" w:eastAsia="zh-CN"/>
              </w:rPr>
            </w:pPr>
          </w:p>
        </w:tc>
        <w:tc>
          <w:tcPr>
            <w:tcW w:w="2958" w:type="dxa"/>
            <w:vMerge w:val="continue"/>
            <w:tcBorders>
              <w:top w:val="nil"/>
            </w:tcBorders>
            <w:vAlign w:val="center"/>
          </w:tcPr>
          <w:p>
            <w:pPr>
              <w:pStyle w:val="18"/>
              <w:bidi w:val="0"/>
              <w:jc w:val="center"/>
              <w:rPr>
                <w:lang w:val="zh-CN"/>
              </w:rPr>
            </w:pPr>
          </w:p>
        </w:tc>
        <w:tc>
          <w:tcPr>
            <w:tcW w:w="1715" w:type="dxa"/>
            <w:vAlign w:val="center"/>
          </w:tcPr>
          <w:p>
            <w:pPr>
              <w:pStyle w:val="18"/>
              <w:bidi w:val="0"/>
              <w:jc w:val="center"/>
              <w:rPr>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738" w:type="dxa"/>
            <w:vAlign w:val="center"/>
          </w:tcPr>
          <w:p>
            <w:pPr>
              <w:pStyle w:val="18"/>
              <w:bidi w:val="0"/>
              <w:jc w:val="center"/>
              <w:rPr>
                <w:rFonts w:hint="eastAsia"/>
                <w:lang w:val="zh-CN" w:eastAsia="zh-CN"/>
              </w:rPr>
            </w:pPr>
            <w:r>
              <w:rPr>
                <w:rFonts w:hint="eastAsia"/>
                <w:lang w:val="zh-CN" w:eastAsia="zh-CN"/>
              </w:rPr>
              <w:t>手机号</w:t>
            </w:r>
          </w:p>
        </w:tc>
        <w:tc>
          <w:tcPr>
            <w:tcW w:w="2958" w:type="dxa"/>
            <w:vMerge w:val="continue"/>
            <w:tcBorders>
              <w:top w:val="nil"/>
            </w:tcBorders>
            <w:vAlign w:val="center"/>
          </w:tcPr>
          <w:p>
            <w:pPr>
              <w:pStyle w:val="18"/>
              <w:bidi w:val="0"/>
              <w:jc w:val="center"/>
              <w:rPr>
                <w:lang w:val="zh-CN"/>
              </w:rPr>
            </w:pPr>
          </w:p>
        </w:tc>
        <w:tc>
          <w:tcPr>
            <w:tcW w:w="1715" w:type="dxa"/>
            <w:vAlign w:val="center"/>
          </w:tcPr>
          <w:p>
            <w:pPr>
              <w:pStyle w:val="18"/>
              <w:bidi w:val="0"/>
              <w:jc w:val="center"/>
              <w:rPr>
                <w:rFonts w:hint="eastAsia"/>
                <w:lang w:val="zh-CN" w:eastAsia="zh-CN"/>
              </w:rPr>
            </w:pPr>
            <w:r>
              <w:rPr>
                <w:rFonts w:hint="eastAsia"/>
                <w:lang w:val="zh-CN" w:eastAsia="zh-CN"/>
              </w:rPr>
              <w:t>手机号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1738" w:type="dxa"/>
            <w:vAlign w:val="center"/>
          </w:tcPr>
          <w:p>
            <w:pPr>
              <w:pStyle w:val="18"/>
              <w:bidi w:val="0"/>
              <w:jc w:val="center"/>
              <w:rPr>
                <w:lang w:val="zh-CN" w:eastAsia="zh-CN"/>
              </w:rPr>
            </w:pPr>
          </w:p>
        </w:tc>
        <w:tc>
          <w:tcPr>
            <w:tcW w:w="2958" w:type="dxa"/>
            <w:vMerge w:val="continue"/>
            <w:tcBorders>
              <w:top w:val="nil"/>
            </w:tcBorders>
            <w:vAlign w:val="center"/>
          </w:tcPr>
          <w:p>
            <w:pPr>
              <w:pStyle w:val="18"/>
              <w:bidi w:val="0"/>
              <w:jc w:val="center"/>
              <w:rPr>
                <w:lang w:val="zh-CN"/>
              </w:rPr>
            </w:pPr>
          </w:p>
        </w:tc>
        <w:tc>
          <w:tcPr>
            <w:tcW w:w="1715" w:type="dxa"/>
            <w:vAlign w:val="center"/>
          </w:tcPr>
          <w:p>
            <w:pPr>
              <w:pStyle w:val="18"/>
              <w:bidi w:val="0"/>
              <w:jc w:val="center"/>
              <w:rPr>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738" w:type="dxa"/>
            <w:vAlign w:val="center"/>
          </w:tcPr>
          <w:p>
            <w:pPr>
              <w:pStyle w:val="18"/>
              <w:bidi w:val="0"/>
              <w:jc w:val="center"/>
              <w:rPr>
                <w:rFonts w:hint="eastAsia"/>
                <w:lang w:val="zh-CN" w:eastAsia="zh-CN"/>
              </w:rPr>
            </w:pPr>
            <w:r>
              <w:rPr>
                <w:rFonts w:hint="eastAsia"/>
                <w:lang w:val="zh-CN" w:eastAsia="zh-CN"/>
              </w:rPr>
              <w:t>专</w:t>
            </w:r>
            <w:r>
              <w:rPr>
                <w:rFonts w:hint="eastAsia"/>
                <w:lang w:val="zh-CN" w:eastAsia="zh-CN"/>
              </w:rPr>
              <w:tab/>
            </w:r>
            <w:r>
              <w:rPr>
                <w:rFonts w:hint="eastAsia"/>
                <w:lang w:val="zh-CN" w:eastAsia="zh-CN"/>
              </w:rPr>
              <w:t>业</w:t>
            </w:r>
          </w:p>
        </w:tc>
        <w:tc>
          <w:tcPr>
            <w:tcW w:w="2958" w:type="dxa"/>
            <w:vMerge w:val="continue"/>
            <w:tcBorders>
              <w:top w:val="nil"/>
            </w:tcBorders>
            <w:vAlign w:val="center"/>
          </w:tcPr>
          <w:p>
            <w:pPr>
              <w:pStyle w:val="18"/>
              <w:bidi w:val="0"/>
              <w:jc w:val="center"/>
              <w:rPr>
                <w:lang w:val="zh-CN"/>
              </w:rPr>
            </w:pPr>
          </w:p>
        </w:tc>
        <w:tc>
          <w:tcPr>
            <w:tcW w:w="1715" w:type="dxa"/>
            <w:vAlign w:val="center"/>
          </w:tcPr>
          <w:p>
            <w:pPr>
              <w:pStyle w:val="18"/>
              <w:bidi w:val="0"/>
              <w:jc w:val="center"/>
              <w:rPr>
                <w:rFonts w:hint="eastAsia"/>
                <w:lang w:val="zh-CN" w:eastAsia="zh-CN"/>
              </w:rPr>
            </w:pPr>
            <w:r>
              <w:rPr>
                <w:rFonts w:hint="eastAsia"/>
                <w:lang w:val="zh-CN" w:eastAsia="zh-CN"/>
              </w:rPr>
              <w:t>专</w:t>
            </w:r>
            <w:r>
              <w:rPr>
                <w:rFonts w:hint="eastAsia"/>
                <w:lang w:val="zh-CN" w:eastAsia="zh-CN"/>
              </w:rPr>
              <w:tab/>
            </w:r>
            <w:r>
              <w:rPr>
                <w:rFonts w:hint="eastAsia"/>
                <w:lang w:val="zh-CN" w:eastAsia="zh-CN"/>
              </w:rPr>
              <w:t>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1738" w:type="dxa"/>
            <w:vAlign w:val="center"/>
          </w:tcPr>
          <w:p>
            <w:pPr>
              <w:pStyle w:val="18"/>
              <w:bidi w:val="0"/>
              <w:jc w:val="center"/>
              <w:rPr>
                <w:lang w:val="zh-CN" w:eastAsia="zh-CN"/>
              </w:rPr>
            </w:pPr>
          </w:p>
        </w:tc>
        <w:tc>
          <w:tcPr>
            <w:tcW w:w="2958" w:type="dxa"/>
            <w:vMerge w:val="continue"/>
            <w:tcBorders>
              <w:top w:val="nil"/>
            </w:tcBorders>
            <w:vAlign w:val="center"/>
          </w:tcPr>
          <w:p>
            <w:pPr>
              <w:pStyle w:val="18"/>
              <w:bidi w:val="0"/>
              <w:jc w:val="center"/>
              <w:rPr>
                <w:lang w:val="zh-CN"/>
              </w:rPr>
            </w:pPr>
          </w:p>
        </w:tc>
        <w:tc>
          <w:tcPr>
            <w:tcW w:w="1715" w:type="dxa"/>
            <w:vAlign w:val="center"/>
          </w:tcPr>
          <w:p>
            <w:pPr>
              <w:pStyle w:val="18"/>
              <w:bidi w:val="0"/>
              <w:jc w:val="center"/>
              <w:rPr>
                <w:lang w:val="zh-CN" w:eastAsia="zh-CN"/>
              </w:rPr>
            </w:pPr>
          </w:p>
        </w:tc>
      </w:tr>
    </w:tbl>
    <w:p>
      <w:pPr>
        <w:keepNext w:val="0"/>
        <w:keepLines w:val="0"/>
        <w:pageBreakBefore w:val="0"/>
        <w:widowControl w:val="0"/>
        <w:kinsoku/>
        <w:wordWrap/>
        <w:overflowPunct/>
        <w:topLinePunct/>
        <w:autoSpaceDE/>
        <w:autoSpaceDN/>
        <w:bidi w:val="0"/>
        <w:adjustRightInd w:val="0"/>
        <w:snapToGrid w:val="0"/>
        <w:spacing w:line="400" w:lineRule="exact"/>
        <w:ind w:left="480" w:leftChars="0" w:hanging="480" w:hangingChars="200"/>
        <w:textAlignment w:val="auto"/>
        <w:rPr>
          <w:rFonts w:hint="eastAsia" w:eastAsia="仿宋_GB2312"/>
          <w:sz w:val="24"/>
          <w:szCs w:val="20"/>
          <w:lang w:eastAsia="zh-CN"/>
        </w:rPr>
        <w:sectPr>
          <w:pgSz w:w="11906" w:h="16838"/>
          <w:pgMar w:top="1701" w:right="1531" w:bottom="1701" w:left="1531" w:header="851" w:footer="992" w:gutter="0"/>
          <w:pgNumType w:fmt="decimal"/>
          <w:cols w:space="0" w:num="1"/>
          <w:rtlGutter w:val="0"/>
          <w:docGrid w:type="lines" w:linePitch="312" w:charSpace="0"/>
        </w:sectPr>
      </w:pPr>
      <w:r>
        <w:rPr>
          <w:rFonts w:hint="eastAsia"/>
          <w:sz w:val="24"/>
          <w:szCs w:val="20"/>
        </w:rPr>
        <w:t>注：（不要改变制作好的版面设计）请申报对象将制作好的标签沿着黑边线剪下，分别贴在材料袋外底面和右侧面上。“县市区名称”栏：市直单位的人员填“市直”，其他地域的人员按实填写，如“椒江区”</w:t>
      </w:r>
      <w:r>
        <w:rPr>
          <w:rFonts w:hint="eastAsia"/>
          <w:sz w:val="24"/>
          <w:szCs w:val="20"/>
          <w:lang w:eastAsia="zh-CN"/>
        </w:rPr>
        <w:t>。</w:t>
      </w:r>
    </w:p>
    <w:p>
      <w:pPr>
        <w:bidi w:val="0"/>
        <w:ind w:left="0" w:leftChars="0" w:firstLine="0" w:firstLineChars="0"/>
        <w:rPr>
          <w:rFonts w:hint="eastAsia" w:ascii="黑体" w:hAnsi="黑体" w:eastAsia="黑体" w:cs="黑体"/>
        </w:rPr>
      </w:pPr>
      <w:r>
        <w:rPr>
          <w:rFonts w:hint="eastAsia" w:ascii="黑体" w:hAnsi="黑体" w:eastAsia="黑体" w:cs="黑体"/>
        </w:rPr>
        <w:t>附件8</w:t>
      </w:r>
    </w:p>
    <w:p>
      <w:pPr>
        <w:pStyle w:val="2"/>
        <w:rPr>
          <w:rFonts w:hint="eastAsia" w:ascii="黑体" w:hAnsi="黑体" w:eastAsia="黑体" w:cs="黑体"/>
        </w:rPr>
      </w:pPr>
    </w:p>
    <w:p>
      <w:pPr>
        <w:pStyle w:val="5"/>
        <w:bidi w:val="0"/>
        <w:rPr>
          <w:rFonts w:hint="eastAsia"/>
        </w:rPr>
      </w:pPr>
      <w:r>
        <w:rPr>
          <w:rFonts w:hint="eastAsia"/>
        </w:rPr>
        <w:t>评委会评审对象资格审查花名册</w:t>
      </w:r>
    </w:p>
    <w:tbl>
      <w:tblPr>
        <w:tblStyle w:val="12"/>
        <w:tblW w:w="134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3"/>
        <w:gridCol w:w="299"/>
        <w:gridCol w:w="342"/>
        <w:gridCol w:w="412"/>
        <w:gridCol w:w="412"/>
        <w:gridCol w:w="299"/>
        <w:gridCol w:w="351"/>
        <w:gridCol w:w="413"/>
        <w:gridCol w:w="534"/>
        <w:gridCol w:w="300"/>
        <w:gridCol w:w="305"/>
        <w:gridCol w:w="505"/>
        <w:gridCol w:w="421"/>
        <w:gridCol w:w="448"/>
        <w:gridCol w:w="386"/>
        <w:gridCol w:w="300"/>
        <w:gridCol w:w="319"/>
        <w:gridCol w:w="381"/>
        <w:gridCol w:w="354"/>
        <w:gridCol w:w="416"/>
        <w:gridCol w:w="335"/>
        <w:gridCol w:w="300"/>
        <w:gridCol w:w="300"/>
        <w:gridCol w:w="300"/>
        <w:gridCol w:w="505"/>
        <w:gridCol w:w="300"/>
        <w:gridCol w:w="300"/>
        <w:gridCol w:w="300"/>
        <w:gridCol w:w="424"/>
        <w:gridCol w:w="343"/>
        <w:gridCol w:w="505"/>
        <w:gridCol w:w="367"/>
        <w:gridCol w:w="389"/>
        <w:gridCol w:w="413"/>
        <w:gridCol w:w="300"/>
        <w:gridCol w:w="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353" w:type="dxa"/>
            <w:vMerge w:val="restart"/>
            <w:vAlign w:val="center"/>
          </w:tcPr>
          <w:p>
            <w:pPr>
              <w:pStyle w:val="18"/>
              <w:bidi w:val="0"/>
              <w:jc w:val="center"/>
            </w:pPr>
            <w:r>
              <w:t>序号</w:t>
            </w:r>
          </w:p>
        </w:tc>
        <w:tc>
          <w:tcPr>
            <w:tcW w:w="299" w:type="dxa"/>
            <w:vMerge w:val="restart"/>
            <w:vAlign w:val="center"/>
          </w:tcPr>
          <w:p>
            <w:pPr>
              <w:pStyle w:val="18"/>
              <w:bidi w:val="0"/>
              <w:jc w:val="center"/>
            </w:pPr>
            <w:r>
              <w:t>姓名</w:t>
            </w:r>
          </w:p>
        </w:tc>
        <w:tc>
          <w:tcPr>
            <w:tcW w:w="342" w:type="dxa"/>
            <w:vMerge w:val="restart"/>
            <w:vAlign w:val="center"/>
          </w:tcPr>
          <w:p>
            <w:pPr>
              <w:pStyle w:val="18"/>
              <w:bidi w:val="0"/>
              <w:jc w:val="center"/>
            </w:pPr>
            <w:r>
              <w:t>身份证号</w:t>
            </w:r>
          </w:p>
        </w:tc>
        <w:tc>
          <w:tcPr>
            <w:tcW w:w="412" w:type="dxa"/>
            <w:vMerge w:val="restart"/>
            <w:vAlign w:val="center"/>
          </w:tcPr>
          <w:p>
            <w:pPr>
              <w:pStyle w:val="18"/>
              <w:bidi w:val="0"/>
              <w:jc w:val="center"/>
            </w:pPr>
            <w:r>
              <w:t>工作单位</w:t>
            </w:r>
          </w:p>
        </w:tc>
        <w:tc>
          <w:tcPr>
            <w:tcW w:w="412" w:type="dxa"/>
            <w:vMerge w:val="restart"/>
            <w:vAlign w:val="center"/>
          </w:tcPr>
          <w:p>
            <w:pPr>
              <w:pStyle w:val="18"/>
              <w:bidi w:val="0"/>
              <w:jc w:val="center"/>
            </w:pPr>
            <w:r>
              <w:t>单位性质</w:t>
            </w:r>
          </w:p>
        </w:tc>
        <w:tc>
          <w:tcPr>
            <w:tcW w:w="299" w:type="dxa"/>
            <w:vMerge w:val="restart"/>
            <w:vAlign w:val="center"/>
          </w:tcPr>
          <w:p>
            <w:pPr>
              <w:pStyle w:val="18"/>
              <w:bidi w:val="0"/>
              <w:jc w:val="center"/>
            </w:pPr>
            <w:r>
              <w:t>性别</w:t>
            </w:r>
          </w:p>
        </w:tc>
        <w:tc>
          <w:tcPr>
            <w:tcW w:w="351" w:type="dxa"/>
            <w:vMerge w:val="restart"/>
            <w:vAlign w:val="center"/>
          </w:tcPr>
          <w:p>
            <w:pPr>
              <w:pStyle w:val="18"/>
              <w:bidi w:val="0"/>
              <w:jc w:val="center"/>
            </w:pPr>
            <w:r>
              <w:t>出生年月</w:t>
            </w:r>
          </w:p>
        </w:tc>
        <w:tc>
          <w:tcPr>
            <w:tcW w:w="413" w:type="dxa"/>
            <w:vMerge w:val="restart"/>
            <w:vAlign w:val="center"/>
          </w:tcPr>
          <w:p>
            <w:pPr>
              <w:pStyle w:val="18"/>
              <w:bidi w:val="0"/>
              <w:jc w:val="center"/>
            </w:pPr>
            <w:r>
              <w:t>参加工作时间</w:t>
            </w:r>
          </w:p>
        </w:tc>
        <w:tc>
          <w:tcPr>
            <w:tcW w:w="534" w:type="dxa"/>
            <w:vMerge w:val="restart"/>
            <w:vAlign w:val="center"/>
          </w:tcPr>
          <w:p>
            <w:pPr>
              <w:pStyle w:val="18"/>
              <w:bidi w:val="0"/>
              <w:jc w:val="center"/>
            </w:pPr>
            <w:r>
              <w:t>工作部门及岗位</w:t>
            </w:r>
          </w:p>
          <w:p>
            <w:pPr>
              <w:pStyle w:val="18"/>
              <w:bidi w:val="0"/>
              <w:jc w:val="center"/>
            </w:pPr>
            <w:r>
              <w:t>（行政职务）</w:t>
            </w:r>
          </w:p>
        </w:tc>
        <w:tc>
          <w:tcPr>
            <w:tcW w:w="300" w:type="dxa"/>
            <w:vMerge w:val="restart"/>
            <w:vAlign w:val="center"/>
          </w:tcPr>
          <w:p>
            <w:pPr>
              <w:pStyle w:val="18"/>
              <w:bidi w:val="0"/>
              <w:jc w:val="center"/>
            </w:pPr>
            <w:r>
              <w:t>最高学历</w:t>
            </w:r>
          </w:p>
        </w:tc>
        <w:tc>
          <w:tcPr>
            <w:tcW w:w="305" w:type="dxa"/>
            <w:vMerge w:val="restart"/>
            <w:vAlign w:val="center"/>
          </w:tcPr>
          <w:p>
            <w:pPr>
              <w:pStyle w:val="18"/>
              <w:bidi w:val="0"/>
              <w:jc w:val="center"/>
            </w:pPr>
            <w:r>
              <w:t>最高学位</w:t>
            </w:r>
          </w:p>
        </w:tc>
        <w:tc>
          <w:tcPr>
            <w:tcW w:w="1374" w:type="dxa"/>
            <w:gridSpan w:val="3"/>
            <w:vMerge w:val="restart"/>
            <w:vAlign w:val="center"/>
          </w:tcPr>
          <w:p>
            <w:pPr>
              <w:pStyle w:val="18"/>
              <w:bidi w:val="0"/>
              <w:jc w:val="center"/>
            </w:pPr>
            <w:r>
              <w:t>毕业院校</w:t>
            </w:r>
          </w:p>
        </w:tc>
        <w:tc>
          <w:tcPr>
            <w:tcW w:w="386" w:type="dxa"/>
            <w:vMerge w:val="restart"/>
            <w:vAlign w:val="center"/>
          </w:tcPr>
          <w:p>
            <w:pPr>
              <w:pStyle w:val="18"/>
              <w:bidi w:val="0"/>
              <w:jc w:val="center"/>
            </w:pPr>
            <w:r>
              <w:t>从事何专业工作</w:t>
            </w:r>
          </w:p>
        </w:tc>
        <w:tc>
          <w:tcPr>
            <w:tcW w:w="300" w:type="dxa"/>
            <w:vMerge w:val="restart"/>
            <w:vAlign w:val="center"/>
          </w:tcPr>
          <w:p>
            <w:pPr>
              <w:pStyle w:val="18"/>
              <w:bidi w:val="0"/>
              <w:jc w:val="center"/>
            </w:pPr>
            <w:r>
              <w:t>专业工作年限</w:t>
            </w:r>
          </w:p>
        </w:tc>
        <w:tc>
          <w:tcPr>
            <w:tcW w:w="700" w:type="dxa"/>
            <w:gridSpan w:val="2"/>
            <w:vAlign w:val="center"/>
          </w:tcPr>
          <w:p>
            <w:pPr>
              <w:pStyle w:val="18"/>
              <w:bidi w:val="0"/>
              <w:jc w:val="center"/>
            </w:pPr>
            <w:r>
              <w:t>现专业技术资格</w:t>
            </w:r>
          </w:p>
        </w:tc>
        <w:tc>
          <w:tcPr>
            <w:tcW w:w="770" w:type="dxa"/>
            <w:gridSpan w:val="2"/>
            <w:vAlign w:val="center"/>
          </w:tcPr>
          <w:p>
            <w:pPr>
              <w:pStyle w:val="18"/>
              <w:bidi w:val="0"/>
              <w:jc w:val="center"/>
            </w:pPr>
            <w:r>
              <w:t>现聘任专业技术职务</w:t>
            </w:r>
          </w:p>
        </w:tc>
        <w:tc>
          <w:tcPr>
            <w:tcW w:w="335" w:type="dxa"/>
            <w:vMerge w:val="restart"/>
            <w:vAlign w:val="center"/>
          </w:tcPr>
          <w:p>
            <w:pPr>
              <w:pStyle w:val="18"/>
              <w:bidi w:val="0"/>
              <w:jc w:val="center"/>
            </w:pPr>
            <w:r>
              <w:t>推荐专业技术资格名称</w:t>
            </w:r>
          </w:p>
        </w:tc>
        <w:tc>
          <w:tcPr>
            <w:tcW w:w="300" w:type="dxa"/>
            <w:vMerge w:val="restart"/>
            <w:vAlign w:val="center"/>
          </w:tcPr>
          <w:p>
            <w:pPr>
              <w:pStyle w:val="18"/>
              <w:bidi w:val="0"/>
              <w:jc w:val="center"/>
            </w:pPr>
            <w:r>
              <w:t>外语成绩</w:t>
            </w:r>
          </w:p>
        </w:tc>
        <w:tc>
          <w:tcPr>
            <w:tcW w:w="300" w:type="dxa"/>
            <w:vMerge w:val="restart"/>
            <w:vAlign w:val="center"/>
          </w:tcPr>
          <w:p>
            <w:pPr>
              <w:pStyle w:val="18"/>
              <w:bidi w:val="0"/>
              <w:jc w:val="center"/>
            </w:pPr>
            <w:r>
              <w:t>计算机成绩</w:t>
            </w:r>
          </w:p>
        </w:tc>
        <w:tc>
          <w:tcPr>
            <w:tcW w:w="300" w:type="dxa"/>
            <w:vMerge w:val="restart"/>
            <w:vAlign w:val="center"/>
          </w:tcPr>
          <w:p>
            <w:pPr>
              <w:pStyle w:val="18"/>
              <w:bidi w:val="0"/>
              <w:jc w:val="center"/>
            </w:pPr>
            <w:r>
              <w:t>单位考核情况</w:t>
            </w:r>
          </w:p>
        </w:tc>
        <w:tc>
          <w:tcPr>
            <w:tcW w:w="505" w:type="dxa"/>
            <w:vMerge w:val="restart"/>
            <w:vAlign w:val="center"/>
          </w:tcPr>
          <w:p>
            <w:pPr>
              <w:pStyle w:val="18"/>
              <w:bidi w:val="0"/>
              <w:jc w:val="center"/>
            </w:pPr>
            <w:r>
              <w:t>继续教育情况</w:t>
            </w:r>
          </w:p>
          <w:p>
            <w:pPr>
              <w:pStyle w:val="18"/>
              <w:bidi w:val="0"/>
              <w:jc w:val="center"/>
            </w:pPr>
            <w:r>
              <w:t>（学时数）</w:t>
            </w:r>
          </w:p>
        </w:tc>
        <w:tc>
          <w:tcPr>
            <w:tcW w:w="1324" w:type="dxa"/>
            <w:gridSpan w:val="4"/>
            <w:vAlign w:val="center"/>
          </w:tcPr>
          <w:p>
            <w:pPr>
              <w:pStyle w:val="18"/>
              <w:bidi w:val="0"/>
              <w:jc w:val="center"/>
            </w:pPr>
            <w:r>
              <w:t>下一级评委会推荐评审情况</w:t>
            </w:r>
          </w:p>
        </w:tc>
        <w:tc>
          <w:tcPr>
            <w:tcW w:w="343" w:type="dxa"/>
            <w:vMerge w:val="restart"/>
            <w:vAlign w:val="center"/>
          </w:tcPr>
          <w:p>
            <w:pPr>
              <w:pStyle w:val="18"/>
              <w:bidi w:val="0"/>
              <w:jc w:val="center"/>
            </w:pPr>
            <w:r>
              <w:t>符合破格条件</w:t>
            </w:r>
          </w:p>
        </w:tc>
        <w:tc>
          <w:tcPr>
            <w:tcW w:w="505" w:type="dxa"/>
            <w:vMerge w:val="restart"/>
            <w:vAlign w:val="center"/>
          </w:tcPr>
          <w:p>
            <w:pPr>
              <w:pStyle w:val="18"/>
              <w:bidi w:val="0"/>
              <w:jc w:val="center"/>
            </w:pPr>
            <w:r>
              <w:t>申报人联系电话</w:t>
            </w:r>
          </w:p>
          <w:p>
            <w:pPr>
              <w:pStyle w:val="18"/>
              <w:bidi w:val="0"/>
              <w:jc w:val="center"/>
            </w:pPr>
            <w:r>
              <w:t>（手机必填）</w:t>
            </w:r>
          </w:p>
        </w:tc>
        <w:tc>
          <w:tcPr>
            <w:tcW w:w="367" w:type="dxa"/>
            <w:vMerge w:val="restart"/>
            <w:vAlign w:val="center"/>
          </w:tcPr>
          <w:p>
            <w:pPr>
              <w:pStyle w:val="18"/>
              <w:bidi w:val="0"/>
              <w:jc w:val="center"/>
            </w:pPr>
            <w:r>
              <w:t>申报人通信地址</w:t>
            </w:r>
          </w:p>
        </w:tc>
        <w:tc>
          <w:tcPr>
            <w:tcW w:w="389" w:type="dxa"/>
            <w:vMerge w:val="restart"/>
            <w:vAlign w:val="center"/>
          </w:tcPr>
          <w:p>
            <w:pPr>
              <w:pStyle w:val="18"/>
              <w:bidi w:val="0"/>
              <w:jc w:val="center"/>
            </w:pPr>
            <w:r>
              <w:t>邮政编码</w:t>
            </w:r>
          </w:p>
        </w:tc>
        <w:tc>
          <w:tcPr>
            <w:tcW w:w="413" w:type="dxa"/>
            <w:vMerge w:val="restart"/>
            <w:vAlign w:val="center"/>
          </w:tcPr>
          <w:p>
            <w:pPr>
              <w:pStyle w:val="18"/>
              <w:bidi w:val="0"/>
              <w:jc w:val="center"/>
            </w:pPr>
            <w:r>
              <w:t>主管部门</w:t>
            </w:r>
          </w:p>
        </w:tc>
        <w:tc>
          <w:tcPr>
            <w:tcW w:w="300" w:type="dxa"/>
            <w:vMerge w:val="restart"/>
            <w:vAlign w:val="center"/>
          </w:tcPr>
          <w:p>
            <w:pPr>
              <w:pStyle w:val="18"/>
              <w:bidi w:val="0"/>
              <w:jc w:val="center"/>
            </w:pPr>
            <w:r>
              <w:t>所在县市区</w:t>
            </w:r>
          </w:p>
        </w:tc>
        <w:tc>
          <w:tcPr>
            <w:tcW w:w="526" w:type="dxa"/>
            <w:vMerge w:val="restart"/>
            <w:vAlign w:val="center"/>
          </w:tcPr>
          <w:p>
            <w:pPr>
              <w:pStyle w:val="18"/>
              <w:bidi w:val="0"/>
              <w:jc w:val="center"/>
            </w:pPr>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353" w:type="dxa"/>
            <w:vMerge w:val="continue"/>
            <w:tcBorders>
              <w:top w:val="nil"/>
            </w:tcBorders>
            <w:vAlign w:val="center"/>
          </w:tcPr>
          <w:p>
            <w:pPr>
              <w:pStyle w:val="18"/>
              <w:bidi w:val="0"/>
              <w:jc w:val="center"/>
            </w:pPr>
          </w:p>
        </w:tc>
        <w:tc>
          <w:tcPr>
            <w:tcW w:w="299" w:type="dxa"/>
            <w:vMerge w:val="continue"/>
            <w:tcBorders>
              <w:top w:val="nil"/>
            </w:tcBorders>
            <w:vAlign w:val="center"/>
          </w:tcPr>
          <w:p>
            <w:pPr>
              <w:pStyle w:val="18"/>
              <w:bidi w:val="0"/>
              <w:jc w:val="center"/>
            </w:pPr>
          </w:p>
        </w:tc>
        <w:tc>
          <w:tcPr>
            <w:tcW w:w="342" w:type="dxa"/>
            <w:vMerge w:val="continue"/>
            <w:tcBorders>
              <w:top w:val="nil"/>
            </w:tcBorders>
            <w:vAlign w:val="center"/>
          </w:tcPr>
          <w:p>
            <w:pPr>
              <w:pStyle w:val="18"/>
              <w:bidi w:val="0"/>
              <w:jc w:val="center"/>
            </w:pPr>
          </w:p>
        </w:tc>
        <w:tc>
          <w:tcPr>
            <w:tcW w:w="412" w:type="dxa"/>
            <w:vMerge w:val="continue"/>
            <w:tcBorders>
              <w:top w:val="nil"/>
            </w:tcBorders>
            <w:vAlign w:val="center"/>
          </w:tcPr>
          <w:p>
            <w:pPr>
              <w:pStyle w:val="18"/>
              <w:bidi w:val="0"/>
              <w:jc w:val="center"/>
            </w:pPr>
          </w:p>
        </w:tc>
        <w:tc>
          <w:tcPr>
            <w:tcW w:w="412" w:type="dxa"/>
            <w:vMerge w:val="continue"/>
            <w:tcBorders>
              <w:top w:val="nil"/>
            </w:tcBorders>
            <w:vAlign w:val="center"/>
          </w:tcPr>
          <w:p>
            <w:pPr>
              <w:pStyle w:val="18"/>
              <w:bidi w:val="0"/>
              <w:jc w:val="center"/>
            </w:pPr>
          </w:p>
        </w:tc>
        <w:tc>
          <w:tcPr>
            <w:tcW w:w="299" w:type="dxa"/>
            <w:vMerge w:val="continue"/>
            <w:tcBorders>
              <w:top w:val="nil"/>
            </w:tcBorders>
            <w:vAlign w:val="center"/>
          </w:tcPr>
          <w:p>
            <w:pPr>
              <w:pStyle w:val="18"/>
              <w:bidi w:val="0"/>
              <w:jc w:val="center"/>
            </w:pPr>
          </w:p>
        </w:tc>
        <w:tc>
          <w:tcPr>
            <w:tcW w:w="351" w:type="dxa"/>
            <w:vMerge w:val="continue"/>
            <w:tcBorders>
              <w:top w:val="nil"/>
            </w:tcBorders>
            <w:vAlign w:val="center"/>
          </w:tcPr>
          <w:p>
            <w:pPr>
              <w:pStyle w:val="18"/>
              <w:bidi w:val="0"/>
              <w:jc w:val="center"/>
            </w:pPr>
          </w:p>
        </w:tc>
        <w:tc>
          <w:tcPr>
            <w:tcW w:w="413" w:type="dxa"/>
            <w:vMerge w:val="continue"/>
            <w:tcBorders>
              <w:top w:val="nil"/>
            </w:tcBorders>
            <w:vAlign w:val="center"/>
          </w:tcPr>
          <w:p>
            <w:pPr>
              <w:pStyle w:val="18"/>
              <w:bidi w:val="0"/>
              <w:jc w:val="center"/>
            </w:pPr>
          </w:p>
        </w:tc>
        <w:tc>
          <w:tcPr>
            <w:tcW w:w="534" w:type="dxa"/>
            <w:vMerge w:val="continue"/>
            <w:tcBorders>
              <w:top w:val="nil"/>
            </w:tcBorders>
            <w:vAlign w:val="center"/>
          </w:tcPr>
          <w:p>
            <w:pPr>
              <w:pStyle w:val="18"/>
              <w:bidi w:val="0"/>
              <w:jc w:val="center"/>
            </w:pPr>
          </w:p>
        </w:tc>
        <w:tc>
          <w:tcPr>
            <w:tcW w:w="300" w:type="dxa"/>
            <w:vMerge w:val="continue"/>
            <w:tcBorders>
              <w:top w:val="nil"/>
            </w:tcBorders>
            <w:vAlign w:val="center"/>
          </w:tcPr>
          <w:p>
            <w:pPr>
              <w:pStyle w:val="18"/>
              <w:bidi w:val="0"/>
              <w:jc w:val="center"/>
            </w:pPr>
          </w:p>
        </w:tc>
        <w:tc>
          <w:tcPr>
            <w:tcW w:w="305" w:type="dxa"/>
            <w:vMerge w:val="continue"/>
            <w:tcBorders>
              <w:top w:val="nil"/>
            </w:tcBorders>
            <w:vAlign w:val="center"/>
          </w:tcPr>
          <w:p>
            <w:pPr>
              <w:pStyle w:val="18"/>
              <w:bidi w:val="0"/>
              <w:jc w:val="center"/>
            </w:pPr>
          </w:p>
        </w:tc>
        <w:tc>
          <w:tcPr>
            <w:tcW w:w="1374" w:type="dxa"/>
            <w:gridSpan w:val="3"/>
            <w:vMerge w:val="continue"/>
            <w:tcBorders>
              <w:top w:val="nil"/>
            </w:tcBorders>
            <w:vAlign w:val="center"/>
          </w:tcPr>
          <w:p>
            <w:pPr>
              <w:pStyle w:val="18"/>
              <w:bidi w:val="0"/>
              <w:jc w:val="center"/>
            </w:pPr>
          </w:p>
        </w:tc>
        <w:tc>
          <w:tcPr>
            <w:tcW w:w="386" w:type="dxa"/>
            <w:vMerge w:val="continue"/>
            <w:tcBorders>
              <w:top w:val="nil"/>
            </w:tcBorders>
            <w:vAlign w:val="center"/>
          </w:tcPr>
          <w:p>
            <w:pPr>
              <w:pStyle w:val="18"/>
              <w:bidi w:val="0"/>
              <w:jc w:val="center"/>
            </w:pPr>
          </w:p>
        </w:tc>
        <w:tc>
          <w:tcPr>
            <w:tcW w:w="300" w:type="dxa"/>
            <w:vMerge w:val="continue"/>
            <w:tcBorders>
              <w:top w:val="nil"/>
            </w:tcBorders>
            <w:vAlign w:val="center"/>
          </w:tcPr>
          <w:p>
            <w:pPr>
              <w:pStyle w:val="18"/>
              <w:bidi w:val="0"/>
              <w:jc w:val="center"/>
            </w:pPr>
          </w:p>
        </w:tc>
        <w:tc>
          <w:tcPr>
            <w:tcW w:w="319" w:type="dxa"/>
            <w:vMerge w:val="restart"/>
            <w:vAlign w:val="center"/>
          </w:tcPr>
          <w:p>
            <w:pPr>
              <w:pStyle w:val="18"/>
              <w:bidi w:val="0"/>
              <w:jc w:val="center"/>
            </w:pPr>
            <w:r>
              <w:t>名称</w:t>
            </w:r>
          </w:p>
        </w:tc>
        <w:tc>
          <w:tcPr>
            <w:tcW w:w="381" w:type="dxa"/>
            <w:vMerge w:val="restart"/>
            <w:vAlign w:val="center"/>
          </w:tcPr>
          <w:p>
            <w:pPr>
              <w:pStyle w:val="18"/>
              <w:bidi w:val="0"/>
              <w:jc w:val="center"/>
            </w:pPr>
            <w:r>
              <w:t>取得时间</w:t>
            </w:r>
          </w:p>
        </w:tc>
        <w:tc>
          <w:tcPr>
            <w:tcW w:w="354" w:type="dxa"/>
            <w:vMerge w:val="restart"/>
            <w:vAlign w:val="center"/>
          </w:tcPr>
          <w:p>
            <w:pPr>
              <w:pStyle w:val="18"/>
              <w:bidi w:val="0"/>
              <w:jc w:val="center"/>
            </w:pPr>
            <w:r>
              <w:t>名称</w:t>
            </w:r>
          </w:p>
        </w:tc>
        <w:tc>
          <w:tcPr>
            <w:tcW w:w="416" w:type="dxa"/>
            <w:vMerge w:val="restart"/>
            <w:vAlign w:val="center"/>
          </w:tcPr>
          <w:p>
            <w:pPr>
              <w:pStyle w:val="18"/>
              <w:bidi w:val="0"/>
              <w:jc w:val="center"/>
            </w:pPr>
            <w:r>
              <w:t>聘任时间</w:t>
            </w:r>
          </w:p>
        </w:tc>
        <w:tc>
          <w:tcPr>
            <w:tcW w:w="335" w:type="dxa"/>
            <w:vMerge w:val="continue"/>
            <w:tcBorders>
              <w:top w:val="nil"/>
            </w:tcBorders>
            <w:vAlign w:val="center"/>
          </w:tcPr>
          <w:p>
            <w:pPr>
              <w:pStyle w:val="18"/>
              <w:bidi w:val="0"/>
              <w:jc w:val="center"/>
            </w:pPr>
          </w:p>
        </w:tc>
        <w:tc>
          <w:tcPr>
            <w:tcW w:w="300" w:type="dxa"/>
            <w:vMerge w:val="continue"/>
            <w:tcBorders>
              <w:top w:val="nil"/>
            </w:tcBorders>
            <w:vAlign w:val="center"/>
          </w:tcPr>
          <w:p>
            <w:pPr>
              <w:pStyle w:val="18"/>
              <w:bidi w:val="0"/>
              <w:jc w:val="center"/>
            </w:pPr>
          </w:p>
        </w:tc>
        <w:tc>
          <w:tcPr>
            <w:tcW w:w="300" w:type="dxa"/>
            <w:vMerge w:val="continue"/>
            <w:tcBorders>
              <w:top w:val="nil"/>
            </w:tcBorders>
            <w:vAlign w:val="center"/>
          </w:tcPr>
          <w:p>
            <w:pPr>
              <w:pStyle w:val="18"/>
              <w:bidi w:val="0"/>
              <w:jc w:val="center"/>
            </w:pPr>
          </w:p>
        </w:tc>
        <w:tc>
          <w:tcPr>
            <w:tcW w:w="300" w:type="dxa"/>
            <w:vMerge w:val="continue"/>
            <w:tcBorders>
              <w:top w:val="nil"/>
            </w:tcBorders>
            <w:vAlign w:val="center"/>
          </w:tcPr>
          <w:p>
            <w:pPr>
              <w:pStyle w:val="18"/>
              <w:bidi w:val="0"/>
              <w:jc w:val="center"/>
            </w:pPr>
          </w:p>
        </w:tc>
        <w:tc>
          <w:tcPr>
            <w:tcW w:w="505" w:type="dxa"/>
            <w:vMerge w:val="continue"/>
            <w:tcBorders>
              <w:top w:val="nil"/>
            </w:tcBorders>
            <w:vAlign w:val="center"/>
          </w:tcPr>
          <w:p>
            <w:pPr>
              <w:pStyle w:val="18"/>
              <w:bidi w:val="0"/>
              <w:jc w:val="center"/>
            </w:pPr>
          </w:p>
        </w:tc>
        <w:tc>
          <w:tcPr>
            <w:tcW w:w="300" w:type="dxa"/>
            <w:vMerge w:val="restart"/>
            <w:vAlign w:val="center"/>
          </w:tcPr>
          <w:p>
            <w:pPr>
              <w:pStyle w:val="18"/>
              <w:bidi w:val="0"/>
              <w:jc w:val="center"/>
            </w:pPr>
            <w:r>
              <w:t>总人数</w:t>
            </w:r>
          </w:p>
        </w:tc>
        <w:tc>
          <w:tcPr>
            <w:tcW w:w="300" w:type="dxa"/>
            <w:vMerge w:val="restart"/>
            <w:vAlign w:val="center"/>
          </w:tcPr>
          <w:p>
            <w:pPr>
              <w:pStyle w:val="18"/>
              <w:bidi w:val="0"/>
              <w:jc w:val="center"/>
            </w:pPr>
            <w:r>
              <w:t>出席人数</w:t>
            </w:r>
          </w:p>
        </w:tc>
        <w:tc>
          <w:tcPr>
            <w:tcW w:w="300" w:type="dxa"/>
            <w:vMerge w:val="restart"/>
            <w:vAlign w:val="center"/>
          </w:tcPr>
          <w:p>
            <w:pPr>
              <w:pStyle w:val="18"/>
              <w:bidi w:val="0"/>
              <w:jc w:val="center"/>
            </w:pPr>
            <w:r>
              <w:t>赞成数</w:t>
            </w:r>
          </w:p>
        </w:tc>
        <w:tc>
          <w:tcPr>
            <w:tcW w:w="424" w:type="dxa"/>
            <w:vMerge w:val="restart"/>
            <w:vAlign w:val="center"/>
          </w:tcPr>
          <w:p>
            <w:pPr>
              <w:pStyle w:val="18"/>
              <w:bidi w:val="0"/>
              <w:jc w:val="center"/>
            </w:pPr>
            <w:r>
              <w:t>反对数</w:t>
            </w:r>
          </w:p>
        </w:tc>
        <w:tc>
          <w:tcPr>
            <w:tcW w:w="343" w:type="dxa"/>
            <w:vMerge w:val="continue"/>
            <w:tcBorders>
              <w:top w:val="nil"/>
            </w:tcBorders>
            <w:vAlign w:val="center"/>
          </w:tcPr>
          <w:p>
            <w:pPr>
              <w:pStyle w:val="18"/>
              <w:bidi w:val="0"/>
              <w:jc w:val="center"/>
            </w:pPr>
          </w:p>
        </w:tc>
        <w:tc>
          <w:tcPr>
            <w:tcW w:w="505" w:type="dxa"/>
            <w:vMerge w:val="continue"/>
            <w:tcBorders>
              <w:top w:val="nil"/>
            </w:tcBorders>
            <w:vAlign w:val="center"/>
          </w:tcPr>
          <w:p>
            <w:pPr>
              <w:pStyle w:val="18"/>
              <w:bidi w:val="0"/>
              <w:jc w:val="center"/>
            </w:pPr>
          </w:p>
        </w:tc>
        <w:tc>
          <w:tcPr>
            <w:tcW w:w="367" w:type="dxa"/>
            <w:vMerge w:val="continue"/>
            <w:tcBorders>
              <w:top w:val="nil"/>
            </w:tcBorders>
            <w:vAlign w:val="center"/>
          </w:tcPr>
          <w:p>
            <w:pPr>
              <w:pStyle w:val="18"/>
              <w:bidi w:val="0"/>
              <w:jc w:val="center"/>
            </w:pPr>
          </w:p>
        </w:tc>
        <w:tc>
          <w:tcPr>
            <w:tcW w:w="389" w:type="dxa"/>
            <w:vMerge w:val="continue"/>
            <w:tcBorders>
              <w:top w:val="nil"/>
            </w:tcBorders>
            <w:vAlign w:val="center"/>
          </w:tcPr>
          <w:p>
            <w:pPr>
              <w:pStyle w:val="18"/>
              <w:bidi w:val="0"/>
              <w:jc w:val="center"/>
            </w:pPr>
          </w:p>
        </w:tc>
        <w:tc>
          <w:tcPr>
            <w:tcW w:w="413" w:type="dxa"/>
            <w:vMerge w:val="continue"/>
            <w:tcBorders>
              <w:top w:val="nil"/>
            </w:tcBorders>
            <w:vAlign w:val="center"/>
          </w:tcPr>
          <w:p>
            <w:pPr>
              <w:pStyle w:val="18"/>
              <w:bidi w:val="0"/>
              <w:jc w:val="center"/>
            </w:pPr>
          </w:p>
        </w:tc>
        <w:tc>
          <w:tcPr>
            <w:tcW w:w="300" w:type="dxa"/>
            <w:vMerge w:val="continue"/>
            <w:tcBorders>
              <w:top w:val="nil"/>
            </w:tcBorders>
            <w:vAlign w:val="center"/>
          </w:tcPr>
          <w:p>
            <w:pPr>
              <w:pStyle w:val="18"/>
              <w:bidi w:val="0"/>
              <w:jc w:val="center"/>
            </w:pPr>
          </w:p>
        </w:tc>
        <w:tc>
          <w:tcPr>
            <w:tcW w:w="526" w:type="dxa"/>
            <w:vMerge w:val="continue"/>
            <w:tcBorders>
              <w:top w:val="nil"/>
            </w:tcBorders>
            <w:vAlign w:val="center"/>
          </w:tcPr>
          <w:p>
            <w:pPr>
              <w:pStyle w:val="18"/>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353" w:type="dxa"/>
            <w:vMerge w:val="continue"/>
            <w:tcBorders>
              <w:top w:val="nil"/>
            </w:tcBorders>
            <w:vAlign w:val="center"/>
          </w:tcPr>
          <w:p>
            <w:pPr>
              <w:pStyle w:val="18"/>
              <w:bidi w:val="0"/>
              <w:jc w:val="center"/>
            </w:pPr>
          </w:p>
        </w:tc>
        <w:tc>
          <w:tcPr>
            <w:tcW w:w="299" w:type="dxa"/>
            <w:vMerge w:val="continue"/>
            <w:tcBorders>
              <w:top w:val="nil"/>
            </w:tcBorders>
            <w:vAlign w:val="center"/>
          </w:tcPr>
          <w:p>
            <w:pPr>
              <w:pStyle w:val="18"/>
              <w:bidi w:val="0"/>
              <w:jc w:val="center"/>
            </w:pPr>
          </w:p>
        </w:tc>
        <w:tc>
          <w:tcPr>
            <w:tcW w:w="342" w:type="dxa"/>
            <w:vMerge w:val="continue"/>
            <w:tcBorders>
              <w:top w:val="nil"/>
            </w:tcBorders>
            <w:vAlign w:val="center"/>
          </w:tcPr>
          <w:p>
            <w:pPr>
              <w:pStyle w:val="18"/>
              <w:bidi w:val="0"/>
              <w:jc w:val="center"/>
            </w:pPr>
          </w:p>
        </w:tc>
        <w:tc>
          <w:tcPr>
            <w:tcW w:w="412" w:type="dxa"/>
            <w:vMerge w:val="continue"/>
            <w:tcBorders>
              <w:top w:val="nil"/>
            </w:tcBorders>
            <w:vAlign w:val="center"/>
          </w:tcPr>
          <w:p>
            <w:pPr>
              <w:pStyle w:val="18"/>
              <w:bidi w:val="0"/>
              <w:jc w:val="center"/>
            </w:pPr>
          </w:p>
        </w:tc>
        <w:tc>
          <w:tcPr>
            <w:tcW w:w="412" w:type="dxa"/>
            <w:vMerge w:val="continue"/>
            <w:tcBorders>
              <w:top w:val="nil"/>
            </w:tcBorders>
            <w:vAlign w:val="center"/>
          </w:tcPr>
          <w:p>
            <w:pPr>
              <w:pStyle w:val="18"/>
              <w:bidi w:val="0"/>
              <w:jc w:val="center"/>
            </w:pPr>
          </w:p>
        </w:tc>
        <w:tc>
          <w:tcPr>
            <w:tcW w:w="299" w:type="dxa"/>
            <w:vMerge w:val="continue"/>
            <w:tcBorders>
              <w:top w:val="nil"/>
            </w:tcBorders>
            <w:vAlign w:val="center"/>
          </w:tcPr>
          <w:p>
            <w:pPr>
              <w:pStyle w:val="18"/>
              <w:bidi w:val="0"/>
              <w:jc w:val="center"/>
            </w:pPr>
          </w:p>
        </w:tc>
        <w:tc>
          <w:tcPr>
            <w:tcW w:w="351" w:type="dxa"/>
            <w:vMerge w:val="continue"/>
            <w:tcBorders>
              <w:top w:val="nil"/>
            </w:tcBorders>
            <w:vAlign w:val="center"/>
          </w:tcPr>
          <w:p>
            <w:pPr>
              <w:pStyle w:val="18"/>
              <w:bidi w:val="0"/>
              <w:jc w:val="center"/>
            </w:pPr>
          </w:p>
        </w:tc>
        <w:tc>
          <w:tcPr>
            <w:tcW w:w="413" w:type="dxa"/>
            <w:vMerge w:val="continue"/>
            <w:tcBorders>
              <w:top w:val="nil"/>
            </w:tcBorders>
            <w:vAlign w:val="center"/>
          </w:tcPr>
          <w:p>
            <w:pPr>
              <w:pStyle w:val="18"/>
              <w:bidi w:val="0"/>
              <w:jc w:val="center"/>
            </w:pPr>
          </w:p>
        </w:tc>
        <w:tc>
          <w:tcPr>
            <w:tcW w:w="534" w:type="dxa"/>
            <w:vMerge w:val="continue"/>
            <w:tcBorders>
              <w:top w:val="nil"/>
            </w:tcBorders>
            <w:vAlign w:val="center"/>
          </w:tcPr>
          <w:p>
            <w:pPr>
              <w:pStyle w:val="18"/>
              <w:bidi w:val="0"/>
              <w:jc w:val="center"/>
            </w:pPr>
          </w:p>
        </w:tc>
        <w:tc>
          <w:tcPr>
            <w:tcW w:w="300" w:type="dxa"/>
            <w:vMerge w:val="continue"/>
            <w:tcBorders>
              <w:top w:val="nil"/>
            </w:tcBorders>
            <w:vAlign w:val="center"/>
          </w:tcPr>
          <w:p>
            <w:pPr>
              <w:pStyle w:val="18"/>
              <w:bidi w:val="0"/>
              <w:jc w:val="center"/>
            </w:pPr>
          </w:p>
        </w:tc>
        <w:tc>
          <w:tcPr>
            <w:tcW w:w="305" w:type="dxa"/>
            <w:vMerge w:val="continue"/>
            <w:tcBorders>
              <w:top w:val="nil"/>
            </w:tcBorders>
            <w:vAlign w:val="center"/>
          </w:tcPr>
          <w:p>
            <w:pPr>
              <w:pStyle w:val="18"/>
              <w:bidi w:val="0"/>
              <w:jc w:val="center"/>
            </w:pPr>
          </w:p>
        </w:tc>
        <w:tc>
          <w:tcPr>
            <w:tcW w:w="505" w:type="dxa"/>
            <w:vAlign w:val="center"/>
          </w:tcPr>
          <w:p>
            <w:pPr>
              <w:pStyle w:val="18"/>
              <w:bidi w:val="0"/>
              <w:jc w:val="center"/>
            </w:pPr>
            <w:r>
              <w:t>毕业时间</w:t>
            </w:r>
          </w:p>
          <w:p>
            <w:pPr>
              <w:pStyle w:val="18"/>
              <w:bidi w:val="0"/>
              <w:jc w:val="center"/>
            </w:pPr>
            <w:r>
              <w:t>（年月）</w:t>
            </w:r>
          </w:p>
        </w:tc>
        <w:tc>
          <w:tcPr>
            <w:tcW w:w="421" w:type="dxa"/>
            <w:vAlign w:val="center"/>
          </w:tcPr>
          <w:p>
            <w:pPr>
              <w:pStyle w:val="18"/>
              <w:bidi w:val="0"/>
              <w:jc w:val="center"/>
            </w:pPr>
            <w:r>
              <w:t>院校名称</w:t>
            </w:r>
          </w:p>
        </w:tc>
        <w:tc>
          <w:tcPr>
            <w:tcW w:w="448" w:type="dxa"/>
            <w:vAlign w:val="center"/>
          </w:tcPr>
          <w:p>
            <w:pPr>
              <w:pStyle w:val="18"/>
              <w:bidi w:val="0"/>
              <w:jc w:val="center"/>
            </w:pPr>
            <w:r>
              <w:t>毕业专业</w:t>
            </w:r>
          </w:p>
        </w:tc>
        <w:tc>
          <w:tcPr>
            <w:tcW w:w="386" w:type="dxa"/>
            <w:vMerge w:val="continue"/>
            <w:tcBorders>
              <w:top w:val="nil"/>
            </w:tcBorders>
            <w:vAlign w:val="center"/>
          </w:tcPr>
          <w:p>
            <w:pPr>
              <w:pStyle w:val="18"/>
              <w:bidi w:val="0"/>
              <w:jc w:val="center"/>
            </w:pPr>
          </w:p>
        </w:tc>
        <w:tc>
          <w:tcPr>
            <w:tcW w:w="300" w:type="dxa"/>
            <w:vMerge w:val="continue"/>
            <w:tcBorders>
              <w:top w:val="nil"/>
            </w:tcBorders>
            <w:vAlign w:val="center"/>
          </w:tcPr>
          <w:p>
            <w:pPr>
              <w:pStyle w:val="18"/>
              <w:bidi w:val="0"/>
              <w:jc w:val="center"/>
            </w:pPr>
          </w:p>
        </w:tc>
        <w:tc>
          <w:tcPr>
            <w:tcW w:w="319" w:type="dxa"/>
            <w:vMerge w:val="continue"/>
            <w:tcBorders>
              <w:top w:val="nil"/>
            </w:tcBorders>
            <w:vAlign w:val="center"/>
          </w:tcPr>
          <w:p>
            <w:pPr>
              <w:pStyle w:val="18"/>
              <w:bidi w:val="0"/>
              <w:jc w:val="center"/>
            </w:pPr>
          </w:p>
        </w:tc>
        <w:tc>
          <w:tcPr>
            <w:tcW w:w="381" w:type="dxa"/>
            <w:vMerge w:val="continue"/>
            <w:tcBorders>
              <w:top w:val="nil"/>
            </w:tcBorders>
            <w:vAlign w:val="center"/>
          </w:tcPr>
          <w:p>
            <w:pPr>
              <w:pStyle w:val="18"/>
              <w:bidi w:val="0"/>
              <w:jc w:val="center"/>
            </w:pPr>
          </w:p>
        </w:tc>
        <w:tc>
          <w:tcPr>
            <w:tcW w:w="354" w:type="dxa"/>
            <w:vMerge w:val="continue"/>
            <w:tcBorders>
              <w:top w:val="nil"/>
            </w:tcBorders>
            <w:vAlign w:val="center"/>
          </w:tcPr>
          <w:p>
            <w:pPr>
              <w:pStyle w:val="18"/>
              <w:bidi w:val="0"/>
              <w:jc w:val="center"/>
            </w:pPr>
          </w:p>
        </w:tc>
        <w:tc>
          <w:tcPr>
            <w:tcW w:w="416" w:type="dxa"/>
            <w:vMerge w:val="continue"/>
            <w:tcBorders>
              <w:top w:val="nil"/>
            </w:tcBorders>
            <w:vAlign w:val="center"/>
          </w:tcPr>
          <w:p>
            <w:pPr>
              <w:pStyle w:val="18"/>
              <w:bidi w:val="0"/>
              <w:jc w:val="center"/>
            </w:pPr>
          </w:p>
        </w:tc>
        <w:tc>
          <w:tcPr>
            <w:tcW w:w="335" w:type="dxa"/>
            <w:vMerge w:val="continue"/>
            <w:tcBorders>
              <w:top w:val="nil"/>
            </w:tcBorders>
            <w:vAlign w:val="center"/>
          </w:tcPr>
          <w:p>
            <w:pPr>
              <w:pStyle w:val="18"/>
              <w:bidi w:val="0"/>
              <w:jc w:val="center"/>
            </w:pPr>
          </w:p>
        </w:tc>
        <w:tc>
          <w:tcPr>
            <w:tcW w:w="300" w:type="dxa"/>
            <w:vMerge w:val="continue"/>
            <w:tcBorders>
              <w:top w:val="nil"/>
            </w:tcBorders>
            <w:vAlign w:val="center"/>
          </w:tcPr>
          <w:p>
            <w:pPr>
              <w:pStyle w:val="18"/>
              <w:bidi w:val="0"/>
              <w:jc w:val="center"/>
            </w:pPr>
          </w:p>
        </w:tc>
        <w:tc>
          <w:tcPr>
            <w:tcW w:w="300" w:type="dxa"/>
            <w:vMerge w:val="continue"/>
            <w:tcBorders>
              <w:top w:val="nil"/>
            </w:tcBorders>
            <w:vAlign w:val="center"/>
          </w:tcPr>
          <w:p>
            <w:pPr>
              <w:pStyle w:val="18"/>
              <w:bidi w:val="0"/>
              <w:jc w:val="center"/>
            </w:pPr>
          </w:p>
        </w:tc>
        <w:tc>
          <w:tcPr>
            <w:tcW w:w="300" w:type="dxa"/>
            <w:vMerge w:val="continue"/>
            <w:tcBorders>
              <w:top w:val="nil"/>
            </w:tcBorders>
            <w:vAlign w:val="center"/>
          </w:tcPr>
          <w:p>
            <w:pPr>
              <w:pStyle w:val="18"/>
              <w:bidi w:val="0"/>
              <w:jc w:val="center"/>
            </w:pPr>
          </w:p>
        </w:tc>
        <w:tc>
          <w:tcPr>
            <w:tcW w:w="505" w:type="dxa"/>
            <w:vMerge w:val="continue"/>
            <w:tcBorders>
              <w:top w:val="nil"/>
            </w:tcBorders>
            <w:vAlign w:val="center"/>
          </w:tcPr>
          <w:p>
            <w:pPr>
              <w:pStyle w:val="18"/>
              <w:bidi w:val="0"/>
              <w:jc w:val="center"/>
            </w:pPr>
          </w:p>
        </w:tc>
        <w:tc>
          <w:tcPr>
            <w:tcW w:w="300" w:type="dxa"/>
            <w:vMerge w:val="continue"/>
            <w:tcBorders>
              <w:top w:val="nil"/>
            </w:tcBorders>
            <w:vAlign w:val="center"/>
          </w:tcPr>
          <w:p>
            <w:pPr>
              <w:pStyle w:val="18"/>
              <w:bidi w:val="0"/>
              <w:jc w:val="center"/>
            </w:pPr>
          </w:p>
        </w:tc>
        <w:tc>
          <w:tcPr>
            <w:tcW w:w="300" w:type="dxa"/>
            <w:vMerge w:val="continue"/>
            <w:tcBorders>
              <w:top w:val="nil"/>
            </w:tcBorders>
            <w:vAlign w:val="center"/>
          </w:tcPr>
          <w:p>
            <w:pPr>
              <w:pStyle w:val="18"/>
              <w:bidi w:val="0"/>
              <w:jc w:val="center"/>
            </w:pPr>
          </w:p>
        </w:tc>
        <w:tc>
          <w:tcPr>
            <w:tcW w:w="300" w:type="dxa"/>
            <w:vMerge w:val="continue"/>
            <w:tcBorders>
              <w:top w:val="nil"/>
            </w:tcBorders>
            <w:vAlign w:val="center"/>
          </w:tcPr>
          <w:p>
            <w:pPr>
              <w:pStyle w:val="18"/>
              <w:bidi w:val="0"/>
              <w:jc w:val="center"/>
            </w:pPr>
          </w:p>
        </w:tc>
        <w:tc>
          <w:tcPr>
            <w:tcW w:w="424" w:type="dxa"/>
            <w:vMerge w:val="continue"/>
            <w:tcBorders>
              <w:top w:val="nil"/>
            </w:tcBorders>
            <w:vAlign w:val="center"/>
          </w:tcPr>
          <w:p>
            <w:pPr>
              <w:pStyle w:val="18"/>
              <w:bidi w:val="0"/>
              <w:jc w:val="center"/>
            </w:pPr>
          </w:p>
        </w:tc>
        <w:tc>
          <w:tcPr>
            <w:tcW w:w="343" w:type="dxa"/>
            <w:vMerge w:val="continue"/>
            <w:tcBorders>
              <w:top w:val="nil"/>
            </w:tcBorders>
            <w:vAlign w:val="center"/>
          </w:tcPr>
          <w:p>
            <w:pPr>
              <w:pStyle w:val="18"/>
              <w:bidi w:val="0"/>
              <w:jc w:val="center"/>
            </w:pPr>
          </w:p>
        </w:tc>
        <w:tc>
          <w:tcPr>
            <w:tcW w:w="505" w:type="dxa"/>
            <w:vMerge w:val="continue"/>
            <w:tcBorders>
              <w:top w:val="nil"/>
            </w:tcBorders>
            <w:vAlign w:val="center"/>
          </w:tcPr>
          <w:p>
            <w:pPr>
              <w:pStyle w:val="18"/>
              <w:bidi w:val="0"/>
              <w:jc w:val="center"/>
            </w:pPr>
          </w:p>
        </w:tc>
        <w:tc>
          <w:tcPr>
            <w:tcW w:w="367" w:type="dxa"/>
            <w:vMerge w:val="continue"/>
            <w:tcBorders>
              <w:top w:val="nil"/>
            </w:tcBorders>
            <w:vAlign w:val="center"/>
          </w:tcPr>
          <w:p>
            <w:pPr>
              <w:pStyle w:val="18"/>
              <w:bidi w:val="0"/>
              <w:jc w:val="center"/>
            </w:pPr>
          </w:p>
        </w:tc>
        <w:tc>
          <w:tcPr>
            <w:tcW w:w="389" w:type="dxa"/>
            <w:vMerge w:val="continue"/>
            <w:tcBorders>
              <w:top w:val="nil"/>
            </w:tcBorders>
            <w:vAlign w:val="center"/>
          </w:tcPr>
          <w:p>
            <w:pPr>
              <w:pStyle w:val="18"/>
              <w:bidi w:val="0"/>
              <w:jc w:val="center"/>
            </w:pPr>
          </w:p>
        </w:tc>
        <w:tc>
          <w:tcPr>
            <w:tcW w:w="413" w:type="dxa"/>
            <w:vMerge w:val="continue"/>
            <w:tcBorders>
              <w:top w:val="nil"/>
            </w:tcBorders>
            <w:vAlign w:val="center"/>
          </w:tcPr>
          <w:p>
            <w:pPr>
              <w:pStyle w:val="18"/>
              <w:bidi w:val="0"/>
              <w:jc w:val="center"/>
            </w:pPr>
          </w:p>
        </w:tc>
        <w:tc>
          <w:tcPr>
            <w:tcW w:w="300" w:type="dxa"/>
            <w:vMerge w:val="continue"/>
            <w:tcBorders>
              <w:top w:val="nil"/>
            </w:tcBorders>
            <w:vAlign w:val="center"/>
          </w:tcPr>
          <w:p>
            <w:pPr>
              <w:pStyle w:val="18"/>
              <w:bidi w:val="0"/>
              <w:jc w:val="center"/>
            </w:pPr>
          </w:p>
        </w:tc>
        <w:tc>
          <w:tcPr>
            <w:tcW w:w="526" w:type="dxa"/>
            <w:vMerge w:val="continue"/>
            <w:tcBorders>
              <w:top w:val="nil"/>
            </w:tcBorders>
            <w:vAlign w:val="center"/>
          </w:tcPr>
          <w:p>
            <w:pPr>
              <w:pStyle w:val="18"/>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353" w:type="dxa"/>
            <w:vAlign w:val="center"/>
          </w:tcPr>
          <w:p>
            <w:pPr>
              <w:pStyle w:val="18"/>
              <w:bidi w:val="0"/>
              <w:jc w:val="center"/>
            </w:pPr>
          </w:p>
        </w:tc>
        <w:tc>
          <w:tcPr>
            <w:tcW w:w="299" w:type="dxa"/>
            <w:vAlign w:val="center"/>
          </w:tcPr>
          <w:p>
            <w:pPr>
              <w:pStyle w:val="18"/>
              <w:bidi w:val="0"/>
              <w:jc w:val="center"/>
            </w:pPr>
          </w:p>
        </w:tc>
        <w:tc>
          <w:tcPr>
            <w:tcW w:w="342" w:type="dxa"/>
            <w:vAlign w:val="center"/>
          </w:tcPr>
          <w:p>
            <w:pPr>
              <w:pStyle w:val="18"/>
              <w:bidi w:val="0"/>
              <w:jc w:val="center"/>
            </w:pPr>
          </w:p>
        </w:tc>
        <w:tc>
          <w:tcPr>
            <w:tcW w:w="412" w:type="dxa"/>
            <w:vAlign w:val="center"/>
          </w:tcPr>
          <w:p>
            <w:pPr>
              <w:pStyle w:val="18"/>
              <w:bidi w:val="0"/>
              <w:jc w:val="center"/>
            </w:pPr>
          </w:p>
        </w:tc>
        <w:tc>
          <w:tcPr>
            <w:tcW w:w="412" w:type="dxa"/>
            <w:vAlign w:val="center"/>
          </w:tcPr>
          <w:p>
            <w:pPr>
              <w:pStyle w:val="18"/>
              <w:bidi w:val="0"/>
              <w:jc w:val="center"/>
            </w:pPr>
          </w:p>
        </w:tc>
        <w:tc>
          <w:tcPr>
            <w:tcW w:w="299" w:type="dxa"/>
            <w:vAlign w:val="center"/>
          </w:tcPr>
          <w:p>
            <w:pPr>
              <w:pStyle w:val="18"/>
              <w:bidi w:val="0"/>
              <w:jc w:val="center"/>
            </w:pPr>
          </w:p>
        </w:tc>
        <w:tc>
          <w:tcPr>
            <w:tcW w:w="351" w:type="dxa"/>
            <w:vAlign w:val="center"/>
          </w:tcPr>
          <w:p>
            <w:pPr>
              <w:pStyle w:val="18"/>
              <w:bidi w:val="0"/>
              <w:jc w:val="center"/>
            </w:pPr>
          </w:p>
        </w:tc>
        <w:tc>
          <w:tcPr>
            <w:tcW w:w="413" w:type="dxa"/>
            <w:vAlign w:val="center"/>
          </w:tcPr>
          <w:p>
            <w:pPr>
              <w:pStyle w:val="18"/>
              <w:bidi w:val="0"/>
              <w:jc w:val="center"/>
            </w:pPr>
          </w:p>
        </w:tc>
        <w:tc>
          <w:tcPr>
            <w:tcW w:w="534" w:type="dxa"/>
            <w:vAlign w:val="center"/>
          </w:tcPr>
          <w:p>
            <w:pPr>
              <w:pStyle w:val="18"/>
              <w:bidi w:val="0"/>
              <w:jc w:val="center"/>
            </w:pPr>
          </w:p>
        </w:tc>
        <w:tc>
          <w:tcPr>
            <w:tcW w:w="300" w:type="dxa"/>
            <w:vAlign w:val="center"/>
          </w:tcPr>
          <w:p>
            <w:pPr>
              <w:pStyle w:val="18"/>
              <w:bidi w:val="0"/>
              <w:jc w:val="center"/>
            </w:pPr>
          </w:p>
        </w:tc>
        <w:tc>
          <w:tcPr>
            <w:tcW w:w="305" w:type="dxa"/>
            <w:vAlign w:val="center"/>
          </w:tcPr>
          <w:p>
            <w:pPr>
              <w:pStyle w:val="18"/>
              <w:bidi w:val="0"/>
              <w:jc w:val="center"/>
            </w:pPr>
          </w:p>
        </w:tc>
        <w:tc>
          <w:tcPr>
            <w:tcW w:w="505" w:type="dxa"/>
            <w:vAlign w:val="center"/>
          </w:tcPr>
          <w:p>
            <w:pPr>
              <w:pStyle w:val="18"/>
              <w:bidi w:val="0"/>
              <w:jc w:val="center"/>
            </w:pPr>
          </w:p>
        </w:tc>
        <w:tc>
          <w:tcPr>
            <w:tcW w:w="421" w:type="dxa"/>
            <w:vAlign w:val="center"/>
          </w:tcPr>
          <w:p>
            <w:pPr>
              <w:pStyle w:val="18"/>
              <w:bidi w:val="0"/>
              <w:jc w:val="center"/>
            </w:pPr>
          </w:p>
        </w:tc>
        <w:tc>
          <w:tcPr>
            <w:tcW w:w="448" w:type="dxa"/>
            <w:vAlign w:val="center"/>
          </w:tcPr>
          <w:p>
            <w:pPr>
              <w:pStyle w:val="18"/>
              <w:bidi w:val="0"/>
              <w:jc w:val="center"/>
            </w:pPr>
          </w:p>
        </w:tc>
        <w:tc>
          <w:tcPr>
            <w:tcW w:w="386" w:type="dxa"/>
            <w:vAlign w:val="center"/>
          </w:tcPr>
          <w:p>
            <w:pPr>
              <w:pStyle w:val="18"/>
              <w:bidi w:val="0"/>
              <w:jc w:val="center"/>
            </w:pPr>
          </w:p>
        </w:tc>
        <w:tc>
          <w:tcPr>
            <w:tcW w:w="300" w:type="dxa"/>
            <w:vAlign w:val="center"/>
          </w:tcPr>
          <w:p>
            <w:pPr>
              <w:pStyle w:val="18"/>
              <w:bidi w:val="0"/>
              <w:jc w:val="center"/>
            </w:pPr>
          </w:p>
        </w:tc>
        <w:tc>
          <w:tcPr>
            <w:tcW w:w="319" w:type="dxa"/>
            <w:vAlign w:val="center"/>
          </w:tcPr>
          <w:p>
            <w:pPr>
              <w:pStyle w:val="18"/>
              <w:bidi w:val="0"/>
              <w:jc w:val="center"/>
            </w:pPr>
          </w:p>
        </w:tc>
        <w:tc>
          <w:tcPr>
            <w:tcW w:w="381" w:type="dxa"/>
            <w:vAlign w:val="center"/>
          </w:tcPr>
          <w:p>
            <w:pPr>
              <w:pStyle w:val="18"/>
              <w:bidi w:val="0"/>
              <w:jc w:val="center"/>
            </w:pPr>
          </w:p>
        </w:tc>
        <w:tc>
          <w:tcPr>
            <w:tcW w:w="354" w:type="dxa"/>
            <w:vAlign w:val="center"/>
          </w:tcPr>
          <w:p>
            <w:pPr>
              <w:pStyle w:val="18"/>
              <w:bidi w:val="0"/>
              <w:jc w:val="center"/>
            </w:pPr>
          </w:p>
        </w:tc>
        <w:tc>
          <w:tcPr>
            <w:tcW w:w="416" w:type="dxa"/>
            <w:vAlign w:val="center"/>
          </w:tcPr>
          <w:p>
            <w:pPr>
              <w:pStyle w:val="18"/>
              <w:bidi w:val="0"/>
              <w:jc w:val="center"/>
            </w:pPr>
          </w:p>
        </w:tc>
        <w:tc>
          <w:tcPr>
            <w:tcW w:w="335" w:type="dxa"/>
            <w:vAlign w:val="center"/>
          </w:tcPr>
          <w:p>
            <w:pPr>
              <w:pStyle w:val="18"/>
              <w:bidi w:val="0"/>
              <w:jc w:val="center"/>
            </w:pPr>
          </w:p>
        </w:tc>
        <w:tc>
          <w:tcPr>
            <w:tcW w:w="300" w:type="dxa"/>
            <w:vAlign w:val="center"/>
          </w:tcPr>
          <w:p>
            <w:pPr>
              <w:pStyle w:val="18"/>
              <w:bidi w:val="0"/>
              <w:jc w:val="center"/>
            </w:pPr>
          </w:p>
        </w:tc>
        <w:tc>
          <w:tcPr>
            <w:tcW w:w="300" w:type="dxa"/>
            <w:vAlign w:val="center"/>
          </w:tcPr>
          <w:p>
            <w:pPr>
              <w:pStyle w:val="18"/>
              <w:bidi w:val="0"/>
              <w:jc w:val="center"/>
            </w:pPr>
          </w:p>
        </w:tc>
        <w:tc>
          <w:tcPr>
            <w:tcW w:w="300" w:type="dxa"/>
            <w:vAlign w:val="center"/>
          </w:tcPr>
          <w:p>
            <w:pPr>
              <w:pStyle w:val="18"/>
              <w:bidi w:val="0"/>
              <w:jc w:val="center"/>
            </w:pPr>
          </w:p>
        </w:tc>
        <w:tc>
          <w:tcPr>
            <w:tcW w:w="505" w:type="dxa"/>
            <w:vAlign w:val="center"/>
          </w:tcPr>
          <w:p>
            <w:pPr>
              <w:pStyle w:val="18"/>
              <w:bidi w:val="0"/>
              <w:jc w:val="center"/>
            </w:pPr>
          </w:p>
        </w:tc>
        <w:tc>
          <w:tcPr>
            <w:tcW w:w="300" w:type="dxa"/>
            <w:vAlign w:val="center"/>
          </w:tcPr>
          <w:p>
            <w:pPr>
              <w:pStyle w:val="18"/>
              <w:bidi w:val="0"/>
              <w:jc w:val="center"/>
            </w:pPr>
          </w:p>
        </w:tc>
        <w:tc>
          <w:tcPr>
            <w:tcW w:w="300" w:type="dxa"/>
            <w:vAlign w:val="center"/>
          </w:tcPr>
          <w:p>
            <w:pPr>
              <w:pStyle w:val="18"/>
              <w:bidi w:val="0"/>
              <w:jc w:val="center"/>
            </w:pPr>
          </w:p>
        </w:tc>
        <w:tc>
          <w:tcPr>
            <w:tcW w:w="300" w:type="dxa"/>
            <w:vAlign w:val="center"/>
          </w:tcPr>
          <w:p>
            <w:pPr>
              <w:pStyle w:val="18"/>
              <w:bidi w:val="0"/>
              <w:jc w:val="center"/>
            </w:pPr>
          </w:p>
        </w:tc>
        <w:tc>
          <w:tcPr>
            <w:tcW w:w="424" w:type="dxa"/>
            <w:vAlign w:val="center"/>
          </w:tcPr>
          <w:p>
            <w:pPr>
              <w:pStyle w:val="18"/>
              <w:bidi w:val="0"/>
              <w:jc w:val="center"/>
            </w:pPr>
          </w:p>
        </w:tc>
        <w:tc>
          <w:tcPr>
            <w:tcW w:w="343" w:type="dxa"/>
            <w:vAlign w:val="center"/>
          </w:tcPr>
          <w:p>
            <w:pPr>
              <w:pStyle w:val="18"/>
              <w:bidi w:val="0"/>
              <w:jc w:val="center"/>
            </w:pPr>
          </w:p>
        </w:tc>
        <w:tc>
          <w:tcPr>
            <w:tcW w:w="505" w:type="dxa"/>
            <w:vAlign w:val="center"/>
          </w:tcPr>
          <w:p>
            <w:pPr>
              <w:pStyle w:val="18"/>
              <w:bidi w:val="0"/>
              <w:jc w:val="center"/>
            </w:pPr>
          </w:p>
        </w:tc>
        <w:tc>
          <w:tcPr>
            <w:tcW w:w="367" w:type="dxa"/>
            <w:vAlign w:val="center"/>
          </w:tcPr>
          <w:p>
            <w:pPr>
              <w:pStyle w:val="18"/>
              <w:bidi w:val="0"/>
              <w:jc w:val="center"/>
            </w:pPr>
          </w:p>
        </w:tc>
        <w:tc>
          <w:tcPr>
            <w:tcW w:w="389" w:type="dxa"/>
            <w:vAlign w:val="center"/>
          </w:tcPr>
          <w:p>
            <w:pPr>
              <w:pStyle w:val="18"/>
              <w:bidi w:val="0"/>
              <w:jc w:val="center"/>
            </w:pPr>
          </w:p>
        </w:tc>
        <w:tc>
          <w:tcPr>
            <w:tcW w:w="413" w:type="dxa"/>
            <w:vAlign w:val="center"/>
          </w:tcPr>
          <w:p>
            <w:pPr>
              <w:pStyle w:val="18"/>
              <w:bidi w:val="0"/>
              <w:jc w:val="center"/>
            </w:pPr>
          </w:p>
        </w:tc>
        <w:tc>
          <w:tcPr>
            <w:tcW w:w="300" w:type="dxa"/>
            <w:vAlign w:val="center"/>
          </w:tcPr>
          <w:p>
            <w:pPr>
              <w:pStyle w:val="18"/>
              <w:bidi w:val="0"/>
              <w:jc w:val="center"/>
            </w:pPr>
          </w:p>
        </w:tc>
        <w:tc>
          <w:tcPr>
            <w:tcW w:w="526" w:type="dxa"/>
            <w:vAlign w:val="center"/>
          </w:tcPr>
          <w:p>
            <w:pPr>
              <w:pStyle w:val="18"/>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353" w:type="dxa"/>
            <w:vAlign w:val="center"/>
          </w:tcPr>
          <w:p>
            <w:pPr>
              <w:pStyle w:val="18"/>
              <w:bidi w:val="0"/>
              <w:jc w:val="center"/>
            </w:pPr>
          </w:p>
        </w:tc>
        <w:tc>
          <w:tcPr>
            <w:tcW w:w="299" w:type="dxa"/>
            <w:vAlign w:val="center"/>
          </w:tcPr>
          <w:p>
            <w:pPr>
              <w:pStyle w:val="18"/>
              <w:bidi w:val="0"/>
              <w:jc w:val="center"/>
            </w:pPr>
          </w:p>
        </w:tc>
        <w:tc>
          <w:tcPr>
            <w:tcW w:w="342" w:type="dxa"/>
            <w:vAlign w:val="center"/>
          </w:tcPr>
          <w:p>
            <w:pPr>
              <w:pStyle w:val="18"/>
              <w:bidi w:val="0"/>
              <w:jc w:val="center"/>
            </w:pPr>
          </w:p>
        </w:tc>
        <w:tc>
          <w:tcPr>
            <w:tcW w:w="412" w:type="dxa"/>
            <w:vAlign w:val="center"/>
          </w:tcPr>
          <w:p>
            <w:pPr>
              <w:pStyle w:val="18"/>
              <w:bidi w:val="0"/>
              <w:jc w:val="center"/>
            </w:pPr>
          </w:p>
        </w:tc>
        <w:tc>
          <w:tcPr>
            <w:tcW w:w="412" w:type="dxa"/>
            <w:vAlign w:val="center"/>
          </w:tcPr>
          <w:p>
            <w:pPr>
              <w:pStyle w:val="18"/>
              <w:bidi w:val="0"/>
              <w:jc w:val="center"/>
            </w:pPr>
          </w:p>
        </w:tc>
        <w:tc>
          <w:tcPr>
            <w:tcW w:w="299" w:type="dxa"/>
            <w:vAlign w:val="center"/>
          </w:tcPr>
          <w:p>
            <w:pPr>
              <w:pStyle w:val="18"/>
              <w:bidi w:val="0"/>
              <w:jc w:val="center"/>
            </w:pPr>
          </w:p>
        </w:tc>
        <w:tc>
          <w:tcPr>
            <w:tcW w:w="351" w:type="dxa"/>
            <w:vAlign w:val="center"/>
          </w:tcPr>
          <w:p>
            <w:pPr>
              <w:pStyle w:val="18"/>
              <w:bidi w:val="0"/>
              <w:jc w:val="center"/>
            </w:pPr>
          </w:p>
        </w:tc>
        <w:tc>
          <w:tcPr>
            <w:tcW w:w="413" w:type="dxa"/>
            <w:vAlign w:val="center"/>
          </w:tcPr>
          <w:p>
            <w:pPr>
              <w:pStyle w:val="18"/>
              <w:bidi w:val="0"/>
              <w:jc w:val="center"/>
            </w:pPr>
          </w:p>
        </w:tc>
        <w:tc>
          <w:tcPr>
            <w:tcW w:w="534" w:type="dxa"/>
            <w:vAlign w:val="center"/>
          </w:tcPr>
          <w:p>
            <w:pPr>
              <w:pStyle w:val="18"/>
              <w:bidi w:val="0"/>
              <w:jc w:val="center"/>
            </w:pPr>
          </w:p>
        </w:tc>
        <w:tc>
          <w:tcPr>
            <w:tcW w:w="300" w:type="dxa"/>
            <w:vAlign w:val="center"/>
          </w:tcPr>
          <w:p>
            <w:pPr>
              <w:pStyle w:val="18"/>
              <w:bidi w:val="0"/>
              <w:jc w:val="center"/>
            </w:pPr>
          </w:p>
        </w:tc>
        <w:tc>
          <w:tcPr>
            <w:tcW w:w="305" w:type="dxa"/>
            <w:vAlign w:val="center"/>
          </w:tcPr>
          <w:p>
            <w:pPr>
              <w:pStyle w:val="18"/>
              <w:bidi w:val="0"/>
              <w:jc w:val="center"/>
            </w:pPr>
          </w:p>
        </w:tc>
        <w:tc>
          <w:tcPr>
            <w:tcW w:w="505" w:type="dxa"/>
            <w:vAlign w:val="center"/>
          </w:tcPr>
          <w:p>
            <w:pPr>
              <w:pStyle w:val="18"/>
              <w:bidi w:val="0"/>
              <w:jc w:val="center"/>
            </w:pPr>
          </w:p>
        </w:tc>
        <w:tc>
          <w:tcPr>
            <w:tcW w:w="421" w:type="dxa"/>
            <w:vAlign w:val="center"/>
          </w:tcPr>
          <w:p>
            <w:pPr>
              <w:pStyle w:val="18"/>
              <w:bidi w:val="0"/>
              <w:jc w:val="center"/>
            </w:pPr>
          </w:p>
        </w:tc>
        <w:tc>
          <w:tcPr>
            <w:tcW w:w="448" w:type="dxa"/>
            <w:vAlign w:val="center"/>
          </w:tcPr>
          <w:p>
            <w:pPr>
              <w:pStyle w:val="18"/>
              <w:bidi w:val="0"/>
              <w:jc w:val="center"/>
            </w:pPr>
          </w:p>
        </w:tc>
        <w:tc>
          <w:tcPr>
            <w:tcW w:w="386" w:type="dxa"/>
            <w:vAlign w:val="center"/>
          </w:tcPr>
          <w:p>
            <w:pPr>
              <w:pStyle w:val="18"/>
              <w:bidi w:val="0"/>
              <w:jc w:val="center"/>
            </w:pPr>
          </w:p>
        </w:tc>
        <w:tc>
          <w:tcPr>
            <w:tcW w:w="300" w:type="dxa"/>
            <w:vAlign w:val="center"/>
          </w:tcPr>
          <w:p>
            <w:pPr>
              <w:pStyle w:val="18"/>
              <w:bidi w:val="0"/>
              <w:jc w:val="center"/>
            </w:pPr>
          </w:p>
        </w:tc>
        <w:tc>
          <w:tcPr>
            <w:tcW w:w="319" w:type="dxa"/>
            <w:vAlign w:val="center"/>
          </w:tcPr>
          <w:p>
            <w:pPr>
              <w:pStyle w:val="18"/>
              <w:bidi w:val="0"/>
              <w:jc w:val="center"/>
            </w:pPr>
          </w:p>
        </w:tc>
        <w:tc>
          <w:tcPr>
            <w:tcW w:w="381" w:type="dxa"/>
            <w:vAlign w:val="center"/>
          </w:tcPr>
          <w:p>
            <w:pPr>
              <w:pStyle w:val="18"/>
              <w:bidi w:val="0"/>
              <w:jc w:val="center"/>
            </w:pPr>
          </w:p>
        </w:tc>
        <w:tc>
          <w:tcPr>
            <w:tcW w:w="354" w:type="dxa"/>
            <w:vAlign w:val="center"/>
          </w:tcPr>
          <w:p>
            <w:pPr>
              <w:pStyle w:val="18"/>
              <w:bidi w:val="0"/>
              <w:jc w:val="center"/>
            </w:pPr>
          </w:p>
        </w:tc>
        <w:tc>
          <w:tcPr>
            <w:tcW w:w="416" w:type="dxa"/>
            <w:vAlign w:val="center"/>
          </w:tcPr>
          <w:p>
            <w:pPr>
              <w:pStyle w:val="18"/>
              <w:bidi w:val="0"/>
              <w:jc w:val="center"/>
            </w:pPr>
          </w:p>
        </w:tc>
        <w:tc>
          <w:tcPr>
            <w:tcW w:w="335" w:type="dxa"/>
            <w:vAlign w:val="center"/>
          </w:tcPr>
          <w:p>
            <w:pPr>
              <w:pStyle w:val="18"/>
              <w:bidi w:val="0"/>
              <w:jc w:val="center"/>
            </w:pPr>
          </w:p>
        </w:tc>
        <w:tc>
          <w:tcPr>
            <w:tcW w:w="300" w:type="dxa"/>
            <w:vAlign w:val="center"/>
          </w:tcPr>
          <w:p>
            <w:pPr>
              <w:pStyle w:val="18"/>
              <w:bidi w:val="0"/>
              <w:jc w:val="center"/>
            </w:pPr>
          </w:p>
        </w:tc>
        <w:tc>
          <w:tcPr>
            <w:tcW w:w="300" w:type="dxa"/>
            <w:vAlign w:val="center"/>
          </w:tcPr>
          <w:p>
            <w:pPr>
              <w:pStyle w:val="18"/>
              <w:bidi w:val="0"/>
              <w:jc w:val="center"/>
            </w:pPr>
          </w:p>
        </w:tc>
        <w:tc>
          <w:tcPr>
            <w:tcW w:w="300" w:type="dxa"/>
            <w:vAlign w:val="center"/>
          </w:tcPr>
          <w:p>
            <w:pPr>
              <w:pStyle w:val="18"/>
              <w:bidi w:val="0"/>
              <w:jc w:val="center"/>
            </w:pPr>
          </w:p>
        </w:tc>
        <w:tc>
          <w:tcPr>
            <w:tcW w:w="505" w:type="dxa"/>
            <w:vAlign w:val="center"/>
          </w:tcPr>
          <w:p>
            <w:pPr>
              <w:pStyle w:val="18"/>
              <w:bidi w:val="0"/>
              <w:jc w:val="center"/>
            </w:pPr>
          </w:p>
        </w:tc>
        <w:tc>
          <w:tcPr>
            <w:tcW w:w="300" w:type="dxa"/>
            <w:vAlign w:val="center"/>
          </w:tcPr>
          <w:p>
            <w:pPr>
              <w:pStyle w:val="18"/>
              <w:bidi w:val="0"/>
              <w:jc w:val="center"/>
            </w:pPr>
          </w:p>
        </w:tc>
        <w:tc>
          <w:tcPr>
            <w:tcW w:w="300" w:type="dxa"/>
            <w:vAlign w:val="center"/>
          </w:tcPr>
          <w:p>
            <w:pPr>
              <w:pStyle w:val="18"/>
              <w:bidi w:val="0"/>
              <w:jc w:val="center"/>
            </w:pPr>
          </w:p>
        </w:tc>
        <w:tc>
          <w:tcPr>
            <w:tcW w:w="300" w:type="dxa"/>
            <w:vAlign w:val="center"/>
          </w:tcPr>
          <w:p>
            <w:pPr>
              <w:pStyle w:val="18"/>
              <w:bidi w:val="0"/>
              <w:jc w:val="center"/>
            </w:pPr>
          </w:p>
        </w:tc>
        <w:tc>
          <w:tcPr>
            <w:tcW w:w="424" w:type="dxa"/>
            <w:vAlign w:val="center"/>
          </w:tcPr>
          <w:p>
            <w:pPr>
              <w:pStyle w:val="18"/>
              <w:bidi w:val="0"/>
              <w:jc w:val="center"/>
            </w:pPr>
          </w:p>
        </w:tc>
        <w:tc>
          <w:tcPr>
            <w:tcW w:w="343" w:type="dxa"/>
            <w:vAlign w:val="center"/>
          </w:tcPr>
          <w:p>
            <w:pPr>
              <w:pStyle w:val="18"/>
              <w:bidi w:val="0"/>
              <w:jc w:val="center"/>
            </w:pPr>
          </w:p>
        </w:tc>
        <w:tc>
          <w:tcPr>
            <w:tcW w:w="505" w:type="dxa"/>
            <w:vAlign w:val="center"/>
          </w:tcPr>
          <w:p>
            <w:pPr>
              <w:pStyle w:val="18"/>
              <w:bidi w:val="0"/>
              <w:jc w:val="center"/>
            </w:pPr>
          </w:p>
        </w:tc>
        <w:tc>
          <w:tcPr>
            <w:tcW w:w="367" w:type="dxa"/>
            <w:vAlign w:val="center"/>
          </w:tcPr>
          <w:p>
            <w:pPr>
              <w:pStyle w:val="18"/>
              <w:bidi w:val="0"/>
              <w:jc w:val="center"/>
            </w:pPr>
          </w:p>
        </w:tc>
        <w:tc>
          <w:tcPr>
            <w:tcW w:w="389" w:type="dxa"/>
            <w:vAlign w:val="center"/>
          </w:tcPr>
          <w:p>
            <w:pPr>
              <w:pStyle w:val="18"/>
              <w:bidi w:val="0"/>
              <w:jc w:val="center"/>
            </w:pPr>
          </w:p>
        </w:tc>
        <w:tc>
          <w:tcPr>
            <w:tcW w:w="413" w:type="dxa"/>
            <w:vAlign w:val="center"/>
          </w:tcPr>
          <w:p>
            <w:pPr>
              <w:pStyle w:val="18"/>
              <w:bidi w:val="0"/>
              <w:jc w:val="center"/>
            </w:pPr>
          </w:p>
        </w:tc>
        <w:tc>
          <w:tcPr>
            <w:tcW w:w="300" w:type="dxa"/>
            <w:vAlign w:val="center"/>
          </w:tcPr>
          <w:p>
            <w:pPr>
              <w:pStyle w:val="18"/>
              <w:bidi w:val="0"/>
              <w:jc w:val="center"/>
            </w:pPr>
          </w:p>
        </w:tc>
        <w:tc>
          <w:tcPr>
            <w:tcW w:w="526" w:type="dxa"/>
            <w:vAlign w:val="center"/>
          </w:tcPr>
          <w:p>
            <w:pPr>
              <w:pStyle w:val="18"/>
              <w:bidi w:val="0"/>
              <w:jc w:val="center"/>
            </w:pPr>
          </w:p>
        </w:tc>
      </w:tr>
    </w:tbl>
    <w:p>
      <w:pPr>
        <w:keepNext w:val="0"/>
        <w:keepLines w:val="0"/>
        <w:pageBreakBefore w:val="0"/>
        <w:widowControl w:val="0"/>
        <w:kinsoku/>
        <w:wordWrap/>
        <w:overflowPunct/>
        <w:topLinePunct/>
        <w:autoSpaceDE/>
        <w:autoSpaceDN/>
        <w:bidi w:val="0"/>
        <w:adjustRightInd w:val="0"/>
        <w:snapToGrid w:val="0"/>
        <w:spacing w:line="300" w:lineRule="exact"/>
        <w:ind w:left="420" w:leftChars="0" w:hanging="420" w:hangingChars="200"/>
        <w:textAlignment w:val="auto"/>
        <w:rPr>
          <w:rFonts w:hint="eastAsia"/>
          <w:sz w:val="21"/>
          <w:szCs w:val="21"/>
        </w:rPr>
      </w:pPr>
      <w:r>
        <w:rPr>
          <w:rFonts w:hint="eastAsia"/>
          <w:sz w:val="21"/>
          <w:szCs w:val="21"/>
        </w:rPr>
        <w:t>注：1．本表由委托单位填写，报系列主管部门和人事部门审核。2．本表连同电子版本（要求用EXCEL制作）报送。3．涉及到数字的请将此表的相关单元格格式设置为“文本格式”,表中所有时间均按“200808”格式表示。4．身份证号码务必准确填写。</w:t>
      </w:r>
      <w:r>
        <w:rPr>
          <w:rFonts w:hint="eastAsia"/>
          <w:sz w:val="21"/>
          <w:szCs w:val="21"/>
          <w:lang w:val="en-US" w:eastAsia="zh-CN"/>
        </w:rPr>
        <w:t>5</w:t>
      </w:r>
      <w:r>
        <w:rPr>
          <w:rFonts w:hint="eastAsia"/>
          <w:sz w:val="21"/>
          <w:szCs w:val="21"/>
        </w:rPr>
        <w:t>．工作单位务必用全称，要完整准确输入。</w:t>
      </w:r>
      <w:r>
        <w:rPr>
          <w:rFonts w:hint="eastAsia"/>
          <w:sz w:val="21"/>
          <w:szCs w:val="21"/>
          <w:lang w:val="en-US" w:eastAsia="zh-CN"/>
        </w:rPr>
        <w:t>6</w:t>
      </w:r>
      <w:r>
        <w:rPr>
          <w:rFonts w:hint="eastAsia"/>
          <w:sz w:val="21"/>
          <w:szCs w:val="21"/>
        </w:rPr>
        <w:t>．“单位性质”一栏按浙人专（2007）57号文件所列的类别“机关”、“社会公益类事业单位”、“监督管理类事业单位”“中介服务类事业单位”“生产经营类事业单位”、“国有企业”、“集体企业”“私营企业和个体工商户”、“外商投资企业”、“港澳台投资企业”、“其它类企业”填写。</w:t>
      </w:r>
      <w:r>
        <w:rPr>
          <w:rFonts w:hint="eastAsia"/>
          <w:sz w:val="21"/>
          <w:szCs w:val="21"/>
          <w:lang w:val="en-US" w:eastAsia="zh-CN"/>
        </w:rPr>
        <w:t>7</w:t>
      </w:r>
      <w:r>
        <w:rPr>
          <w:rFonts w:hint="eastAsia"/>
          <w:sz w:val="21"/>
          <w:szCs w:val="21"/>
        </w:rPr>
        <w:t>．最高学历栏按下列内容选择填写：“研究生”、“研究生班”、“大学本科”、“大学普通班”、“大学专科”、“中专”、“高中及以下”。</w:t>
      </w:r>
      <w:r>
        <w:rPr>
          <w:rFonts w:hint="eastAsia"/>
          <w:sz w:val="21"/>
          <w:szCs w:val="21"/>
          <w:lang w:val="en-US" w:eastAsia="zh-CN"/>
        </w:rPr>
        <w:t>8</w:t>
      </w:r>
      <w:r>
        <w:rPr>
          <w:rFonts w:hint="eastAsia"/>
          <w:sz w:val="21"/>
          <w:szCs w:val="21"/>
        </w:rPr>
        <w:t>．所学专业与现从事专业不一致的，需将专业一致的前学历相关信息同时填报。</w:t>
      </w:r>
      <w:r>
        <w:rPr>
          <w:rFonts w:hint="eastAsia"/>
          <w:sz w:val="21"/>
          <w:szCs w:val="21"/>
          <w:lang w:val="en-US" w:eastAsia="zh-CN"/>
        </w:rPr>
        <w:t>9</w:t>
      </w:r>
      <w:r>
        <w:rPr>
          <w:rFonts w:hint="eastAsia"/>
          <w:sz w:val="21"/>
          <w:szCs w:val="21"/>
        </w:rPr>
        <w:t>．“从事专业”指申报相应专业技术资格时所从事的专业，将填入资格证书专业名称栏内，请填写完整准确，字数最多不超过6个字。</w:t>
      </w:r>
      <w:r>
        <w:rPr>
          <w:rFonts w:hint="eastAsia"/>
          <w:sz w:val="21"/>
          <w:szCs w:val="21"/>
          <w:lang w:val="en-US" w:eastAsia="zh-CN"/>
        </w:rPr>
        <w:t>10</w:t>
      </w:r>
      <w:r>
        <w:rPr>
          <w:rFonts w:hint="eastAsia"/>
          <w:sz w:val="21"/>
          <w:szCs w:val="21"/>
        </w:rPr>
        <w:t>．外语计算机应填“合格”或“省线合格”。1</w:t>
      </w:r>
      <w:r>
        <w:rPr>
          <w:rFonts w:hint="eastAsia"/>
          <w:sz w:val="21"/>
          <w:szCs w:val="21"/>
          <w:lang w:val="en-US" w:eastAsia="zh-CN"/>
        </w:rPr>
        <w:t>1</w:t>
      </w:r>
      <w:r>
        <w:rPr>
          <w:rFonts w:hint="eastAsia"/>
          <w:sz w:val="21"/>
          <w:szCs w:val="21"/>
        </w:rPr>
        <w:t>．请准确填写主管单位名称，应与评审表中的印章一致。1</w:t>
      </w:r>
      <w:r>
        <w:rPr>
          <w:rFonts w:hint="eastAsia"/>
          <w:sz w:val="21"/>
          <w:szCs w:val="21"/>
          <w:lang w:val="en-US" w:eastAsia="zh-CN"/>
        </w:rPr>
        <w:t>2</w:t>
      </w:r>
      <w:r>
        <w:rPr>
          <w:rFonts w:hint="eastAsia"/>
          <w:sz w:val="21"/>
          <w:szCs w:val="21"/>
        </w:rPr>
        <w:t>．本表一律用A3纸打印。</w:t>
      </w:r>
    </w:p>
    <w:p>
      <w:pPr>
        <w:pStyle w:val="18"/>
        <w:bidi w:val="0"/>
        <w:rPr>
          <w:rFonts w:hint="eastAsia"/>
        </w:rPr>
      </w:pPr>
      <w:r>
        <w:rPr>
          <w:rFonts w:hint="eastAsia"/>
        </w:rPr>
        <w:t>填报人：</w:t>
      </w:r>
      <w:r>
        <w:rPr>
          <w:rFonts w:hint="eastAsia"/>
        </w:rPr>
        <w:tab/>
      </w:r>
      <w:r>
        <w:rPr>
          <w:rFonts w:hint="eastAsia"/>
          <w:lang w:val="en-US" w:eastAsia="zh-CN"/>
        </w:rPr>
        <w:t xml:space="preserve">    </w:t>
      </w:r>
      <w:r>
        <w:rPr>
          <w:rFonts w:hint="eastAsia"/>
        </w:rPr>
        <w:t>电话：</w:t>
      </w:r>
      <w:r>
        <w:rPr>
          <w:rFonts w:hint="eastAsia"/>
          <w:lang w:val="en-US" w:eastAsia="zh-CN"/>
        </w:rPr>
        <w:t xml:space="preserve">        </w:t>
      </w:r>
      <w:r>
        <w:rPr>
          <w:rFonts w:hint="eastAsia"/>
        </w:rPr>
        <w:tab/>
      </w:r>
      <w:r>
        <w:rPr>
          <w:rFonts w:hint="eastAsia"/>
        </w:rPr>
        <w:t>手机：</w:t>
      </w:r>
      <w:r>
        <w:rPr>
          <w:rFonts w:hint="eastAsia"/>
          <w:lang w:val="en-US" w:eastAsia="zh-CN"/>
        </w:rPr>
        <w:t xml:space="preserve">        </w:t>
      </w:r>
      <w:r>
        <w:rPr>
          <w:rFonts w:hint="eastAsia"/>
        </w:rPr>
        <w:tab/>
      </w:r>
      <w:r>
        <w:rPr>
          <w:rFonts w:hint="eastAsia"/>
        </w:rPr>
        <w:t>传真：</w:t>
      </w:r>
      <w:r>
        <w:rPr>
          <w:rFonts w:hint="eastAsia"/>
        </w:rPr>
        <w:tab/>
      </w:r>
      <w:r>
        <w:rPr>
          <w:rFonts w:hint="eastAsia"/>
          <w:lang w:val="en-US" w:eastAsia="zh-CN"/>
        </w:rPr>
        <w:t xml:space="preserve">           </w:t>
      </w:r>
      <w:r>
        <w:rPr>
          <w:rFonts w:hint="eastAsia"/>
        </w:rPr>
        <w:t>电子邮箱地址：</w:t>
      </w:r>
      <w:r>
        <w:rPr>
          <w:rFonts w:hint="eastAsia"/>
          <w:lang w:val="en-US" w:eastAsia="zh-CN"/>
        </w:rPr>
        <w:t xml:space="preserve">       </w:t>
      </w:r>
      <w:r>
        <w:rPr>
          <w:rFonts w:hint="eastAsia"/>
        </w:rPr>
        <w:tab/>
      </w:r>
      <w:r>
        <w:rPr>
          <w:rFonts w:hint="eastAsia"/>
        </w:rPr>
        <w:t>送评时间</w:t>
      </w:r>
      <w:r>
        <w:rPr>
          <w:rFonts w:hint="eastAsia"/>
        </w:rPr>
        <w:tab/>
      </w:r>
      <w:r>
        <w:rPr>
          <w:rFonts w:hint="eastAsia"/>
        </w:rPr>
        <w:t>年</w:t>
      </w:r>
      <w:r>
        <w:rPr>
          <w:rFonts w:hint="eastAsia"/>
        </w:rPr>
        <w:tab/>
      </w:r>
      <w:r>
        <w:rPr>
          <w:rFonts w:hint="eastAsia"/>
        </w:rPr>
        <w:t>月</w:t>
      </w:r>
      <w:r>
        <w:rPr>
          <w:rFonts w:hint="eastAsia"/>
        </w:rPr>
        <w:tab/>
      </w:r>
      <w:r>
        <w:rPr>
          <w:rFonts w:hint="eastAsia"/>
        </w:rPr>
        <w:t>日</w:t>
      </w:r>
    </w:p>
    <w:p>
      <w:pPr>
        <w:pStyle w:val="2"/>
        <w:rPr>
          <w:rFonts w:hint="eastAsia"/>
        </w:rPr>
        <w:sectPr>
          <w:pgSz w:w="16838" w:h="11906" w:orient="landscape"/>
          <w:pgMar w:top="1531" w:right="1701" w:bottom="1531" w:left="1701" w:header="851" w:footer="992" w:gutter="0"/>
          <w:pgNumType w:fmt="decimal"/>
          <w:cols w:space="0" w:num="1"/>
          <w:rtlGutter w:val="0"/>
          <w:docGrid w:type="lines" w:linePitch="312" w:charSpace="0"/>
        </w:sectPr>
      </w:pPr>
    </w:p>
    <w:p>
      <w:pPr>
        <w:ind w:left="0" w:leftChars="0" w:firstLine="0" w:firstLineChars="0"/>
        <w:rPr>
          <w:rFonts w:hint="eastAsia" w:ascii="黑体" w:hAnsi="黑体" w:eastAsia="黑体" w:cs="黑体"/>
        </w:rPr>
      </w:pPr>
      <w:r>
        <w:rPr>
          <w:rFonts w:hint="eastAsia" w:ascii="黑体" w:hAnsi="黑体" w:eastAsia="黑体" w:cs="黑体"/>
        </w:rPr>
        <w:t>附件9</w:t>
      </w:r>
    </w:p>
    <w:p>
      <w:pPr>
        <w:rPr>
          <w:rFonts w:hint="eastAsia" w:ascii="黑体" w:hAnsi="黑体" w:eastAsia="黑体" w:cs="黑体"/>
        </w:rPr>
      </w:pPr>
    </w:p>
    <w:p>
      <w:pPr>
        <w:pStyle w:val="5"/>
        <w:bidi w:val="0"/>
        <w:rPr>
          <w:rFonts w:hint="eastAsia"/>
        </w:rPr>
      </w:pPr>
      <w:r>
        <w:rPr>
          <w:rFonts w:hint="eastAsia"/>
        </w:rPr>
        <w:t>继续教育方式参考</w:t>
      </w:r>
    </w:p>
    <w:p>
      <w:pPr>
        <w:rPr>
          <w:rFonts w:hint="eastAsia"/>
        </w:rPr>
      </w:pPr>
    </w:p>
    <w:p>
      <w:pPr>
        <w:rPr>
          <w:rFonts w:hint="eastAsia"/>
        </w:rPr>
      </w:pPr>
      <w:r>
        <w:rPr>
          <w:rFonts w:hint="eastAsia"/>
        </w:rPr>
        <w:t>详见详见《浙江省应急管理专业技术人员继续教育学时登记细则的通知》(浙应急人事〔2021〕2号)</w:t>
      </w:r>
    </w:p>
    <w:p>
      <w:pPr>
        <w:pStyle w:val="2"/>
        <w:rPr>
          <w:rFonts w:hint="eastAsia"/>
        </w:rPr>
        <w:sectPr>
          <w:pgSz w:w="11906" w:h="16838"/>
          <w:pgMar w:top="1701" w:right="1531" w:bottom="1701" w:left="1531" w:header="851" w:footer="992" w:gutter="0"/>
          <w:pgNumType w:fmt="decimal"/>
          <w:cols w:space="0" w:num="1"/>
          <w:rtlGutter w:val="0"/>
          <w:docGrid w:type="lines" w:linePitch="312" w:charSpace="0"/>
        </w:sectPr>
      </w:pPr>
    </w:p>
    <w:p>
      <w:pPr>
        <w:ind w:left="0" w:leftChars="0" w:firstLine="0" w:firstLineChars="0"/>
        <w:rPr>
          <w:rFonts w:hint="eastAsia" w:ascii="黑体" w:hAnsi="黑体" w:eastAsia="黑体" w:cs="黑体"/>
        </w:rPr>
      </w:pPr>
      <w:r>
        <w:rPr>
          <w:rFonts w:hint="eastAsia" w:ascii="黑体" w:hAnsi="黑体" w:eastAsia="黑体" w:cs="黑体"/>
        </w:rPr>
        <w:t>附件10</w:t>
      </w:r>
    </w:p>
    <w:p>
      <w:pPr>
        <w:rPr>
          <w:rFonts w:hint="eastAsia" w:ascii="黑体" w:hAnsi="黑体" w:eastAsia="黑体" w:cs="黑体"/>
        </w:rPr>
      </w:pPr>
    </w:p>
    <w:p>
      <w:pPr>
        <w:pStyle w:val="5"/>
        <w:bidi w:val="0"/>
        <w:rPr>
          <w:rFonts w:hint="eastAsia"/>
        </w:rPr>
      </w:pPr>
      <w:r>
        <w:rPr>
          <w:rFonts w:hint="eastAsia"/>
        </w:rPr>
        <w:t>2022年度</w:t>
      </w:r>
      <w:r>
        <w:rPr>
          <w:rFonts w:hint="eastAsia"/>
          <w:lang w:eastAsia="zh-CN"/>
        </w:rPr>
        <w:t>台州市</w:t>
      </w:r>
      <w:r>
        <w:rPr>
          <w:rFonts w:hint="eastAsia"/>
        </w:rPr>
        <w:t>应急管理领域专业技术人员</w:t>
      </w:r>
    </w:p>
    <w:p>
      <w:pPr>
        <w:pStyle w:val="5"/>
        <w:bidi w:val="0"/>
        <w:rPr>
          <w:rFonts w:hint="eastAsia"/>
        </w:rPr>
      </w:pPr>
      <w:r>
        <w:rPr>
          <w:rFonts w:hint="eastAsia"/>
        </w:rPr>
        <w:t>资格评审申报咨询、材料受理一览表</w:t>
      </w:r>
    </w:p>
    <w:p>
      <w:pPr>
        <w:rPr>
          <w:rFonts w:hint="eastAsia"/>
        </w:rPr>
      </w:pPr>
    </w:p>
    <w:p>
      <w:pPr>
        <w:rPr>
          <w:rFonts w:hint="eastAsia"/>
        </w:rPr>
      </w:pPr>
    </w:p>
    <w:tbl>
      <w:tblPr>
        <w:tblStyle w:val="12"/>
        <w:tblW w:w="898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01"/>
        <w:gridCol w:w="2385"/>
        <w:gridCol w:w="3195"/>
        <w:gridCol w:w="18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2" w:hRule="atLeast"/>
        </w:trPr>
        <w:tc>
          <w:tcPr>
            <w:tcW w:w="1501" w:type="dxa"/>
            <w:vAlign w:val="center"/>
          </w:tcPr>
          <w:p>
            <w:pPr>
              <w:pStyle w:val="18"/>
              <w:bidi w:val="0"/>
              <w:jc w:val="center"/>
              <w:rPr>
                <w:rFonts w:hint="eastAsia"/>
                <w:lang w:eastAsia="zh-CN"/>
              </w:rPr>
            </w:pPr>
            <w:r>
              <w:rPr>
                <w:rFonts w:hint="eastAsia"/>
              </w:rPr>
              <w:t>申报对象</w:t>
            </w:r>
            <w:r>
              <w:rPr>
                <w:rFonts w:hint="eastAsia"/>
                <w:lang w:eastAsia="zh-CN"/>
              </w:rPr>
              <w:t>所在区域</w:t>
            </w:r>
          </w:p>
        </w:tc>
        <w:tc>
          <w:tcPr>
            <w:tcW w:w="2385" w:type="dxa"/>
            <w:vAlign w:val="center"/>
          </w:tcPr>
          <w:p>
            <w:pPr>
              <w:pStyle w:val="18"/>
              <w:bidi w:val="0"/>
              <w:jc w:val="center"/>
              <w:rPr>
                <w:rFonts w:hint="eastAsia"/>
              </w:rPr>
            </w:pPr>
            <w:r>
              <w:rPr>
                <w:rFonts w:hint="eastAsia"/>
              </w:rPr>
              <w:t>负责单位及科室</w:t>
            </w:r>
          </w:p>
        </w:tc>
        <w:tc>
          <w:tcPr>
            <w:tcW w:w="3195" w:type="dxa"/>
            <w:vAlign w:val="center"/>
          </w:tcPr>
          <w:p>
            <w:pPr>
              <w:pStyle w:val="18"/>
              <w:bidi w:val="0"/>
              <w:jc w:val="center"/>
              <w:rPr>
                <w:rFonts w:hint="eastAsia"/>
              </w:rPr>
            </w:pPr>
            <w:r>
              <w:rPr>
                <w:rFonts w:hint="eastAsia"/>
              </w:rPr>
              <w:t>现场确认地址</w:t>
            </w:r>
          </w:p>
        </w:tc>
        <w:tc>
          <w:tcPr>
            <w:tcW w:w="1899" w:type="dxa"/>
            <w:vAlign w:val="center"/>
          </w:tcPr>
          <w:p>
            <w:pPr>
              <w:pStyle w:val="18"/>
              <w:bidi w:val="0"/>
              <w:jc w:val="center"/>
              <w:rPr>
                <w:rFonts w:hint="eastAsia"/>
              </w:rPr>
            </w:pPr>
            <w:r>
              <w:rPr>
                <w:rFonts w:hint="eastAsia"/>
              </w:rPr>
              <w:t>联系电话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2" w:hRule="atLeast"/>
        </w:trPr>
        <w:tc>
          <w:tcPr>
            <w:tcW w:w="1501" w:type="dxa"/>
            <w:vAlign w:val="center"/>
          </w:tcPr>
          <w:p>
            <w:pPr>
              <w:pStyle w:val="18"/>
              <w:bidi w:val="0"/>
              <w:jc w:val="center"/>
              <w:rPr>
                <w:rFonts w:hint="eastAsia"/>
              </w:rPr>
            </w:pPr>
            <w:r>
              <w:rPr>
                <w:rFonts w:hint="eastAsia"/>
              </w:rPr>
              <w:t>椒江区</w:t>
            </w:r>
          </w:p>
        </w:tc>
        <w:tc>
          <w:tcPr>
            <w:tcW w:w="2385" w:type="dxa"/>
            <w:vAlign w:val="center"/>
          </w:tcPr>
          <w:p>
            <w:pPr>
              <w:pStyle w:val="18"/>
              <w:bidi w:val="0"/>
              <w:jc w:val="center"/>
              <w:rPr>
                <w:rFonts w:hint="eastAsia"/>
                <w:lang w:val="zh-CN" w:eastAsia="zh-CN"/>
              </w:rPr>
            </w:pPr>
            <w:r>
              <w:rPr>
                <w:rFonts w:hint="default"/>
              </w:rPr>
              <w:t>台州市椒江区应急管</w:t>
            </w:r>
            <w:r>
              <w:rPr>
                <w:rFonts w:hint="eastAsia"/>
                <w:lang w:val="en-US" w:eastAsia="zh-CN"/>
              </w:rPr>
              <w:t>理</w:t>
            </w:r>
            <w:r>
              <w:rPr>
                <w:rFonts w:hint="default"/>
              </w:rPr>
              <w:t>局办公室</w:t>
            </w:r>
          </w:p>
        </w:tc>
        <w:tc>
          <w:tcPr>
            <w:tcW w:w="3195" w:type="dxa"/>
            <w:vAlign w:val="center"/>
          </w:tcPr>
          <w:p>
            <w:pPr>
              <w:pStyle w:val="18"/>
              <w:bidi w:val="0"/>
              <w:jc w:val="center"/>
              <w:rPr>
                <w:rFonts w:hint="eastAsia"/>
                <w:lang w:val="zh-CN" w:eastAsia="zh-CN"/>
              </w:rPr>
            </w:pPr>
            <w:r>
              <w:rPr>
                <w:rFonts w:hint="default"/>
              </w:rPr>
              <w:t>椒江区建设路16号区应急管理局209室</w:t>
            </w:r>
          </w:p>
        </w:tc>
        <w:tc>
          <w:tcPr>
            <w:tcW w:w="1899" w:type="dxa"/>
            <w:vAlign w:val="center"/>
          </w:tcPr>
          <w:p>
            <w:pPr>
              <w:pStyle w:val="18"/>
              <w:bidi w:val="0"/>
              <w:jc w:val="center"/>
              <w:rPr>
                <w:rFonts w:hint="eastAsia"/>
                <w:lang w:val="zh-CN" w:eastAsia="zh-CN"/>
              </w:rPr>
            </w:pPr>
            <w:r>
              <w:rPr>
                <w:rFonts w:hint="default"/>
              </w:rPr>
              <w:t>89039959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1501" w:type="dxa"/>
            <w:vAlign w:val="center"/>
          </w:tcPr>
          <w:p>
            <w:pPr>
              <w:pStyle w:val="18"/>
              <w:bidi w:val="0"/>
              <w:jc w:val="center"/>
              <w:rPr>
                <w:rFonts w:hint="eastAsia"/>
              </w:rPr>
            </w:pPr>
            <w:r>
              <w:rPr>
                <w:rFonts w:hint="eastAsia"/>
              </w:rPr>
              <w:t>黄岩区</w:t>
            </w:r>
          </w:p>
        </w:tc>
        <w:tc>
          <w:tcPr>
            <w:tcW w:w="2385" w:type="dxa"/>
            <w:vAlign w:val="center"/>
          </w:tcPr>
          <w:p>
            <w:pPr>
              <w:pStyle w:val="18"/>
              <w:bidi w:val="0"/>
              <w:jc w:val="center"/>
              <w:rPr>
                <w:rFonts w:hint="eastAsia"/>
                <w:lang w:val="zh-CN" w:eastAsia="zh-CN"/>
              </w:rPr>
            </w:pPr>
            <w:r>
              <w:rPr>
                <w:rFonts w:hint="default"/>
              </w:rPr>
              <w:t>台州市黄岩区</w:t>
            </w:r>
            <w:bookmarkStart w:id="0" w:name="_GoBack"/>
            <w:bookmarkEnd w:id="0"/>
            <w:r>
              <w:rPr>
                <w:rFonts w:hint="default"/>
              </w:rPr>
              <w:t>应急管</w:t>
            </w:r>
            <w:r>
              <w:rPr>
                <w:rFonts w:hint="eastAsia"/>
                <w:lang w:val="en-US" w:eastAsia="zh-CN"/>
              </w:rPr>
              <w:t>理</w:t>
            </w:r>
            <w:r>
              <w:rPr>
                <w:rFonts w:hint="default"/>
              </w:rPr>
              <w:t>局办公室</w:t>
            </w:r>
          </w:p>
        </w:tc>
        <w:tc>
          <w:tcPr>
            <w:tcW w:w="3195" w:type="dxa"/>
            <w:vAlign w:val="center"/>
          </w:tcPr>
          <w:p>
            <w:pPr>
              <w:pStyle w:val="18"/>
              <w:bidi w:val="0"/>
              <w:jc w:val="center"/>
              <w:rPr>
                <w:rFonts w:hint="eastAsia"/>
                <w:lang w:val="zh-CN" w:eastAsia="zh-CN"/>
              </w:rPr>
            </w:pPr>
            <w:r>
              <w:rPr>
                <w:rFonts w:hint="default"/>
              </w:rPr>
              <w:t>劳动南路281号应急管理局304室</w:t>
            </w:r>
          </w:p>
        </w:tc>
        <w:tc>
          <w:tcPr>
            <w:tcW w:w="1899" w:type="dxa"/>
            <w:vAlign w:val="center"/>
          </w:tcPr>
          <w:p>
            <w:pPr>
              <w:pStyle w:val="18"/>
              <w:bidi w:val="0"/>
              <w:jc w:val="center"/>
              <w:rPr>
                <w:rFonts w:hint="eastAsia"/>
                <w:lang w:val="zh-CN" w:eastAsia="zh-CN"/>
              </w:rPr>
            </w:pPr>
            <w:r>
              <w:rPr>
                <w:rFonts w:hint="default"/>
              </w:rPr>
              <w:t>84616122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7" w:hRule="atLeast"/>
        </w:trPr>
        <w:tc>
          <w:tcPr>
            <w:tcW w:w="1501" w:type="dxa"/>
            <w:vAlign w:val="center"/>
          </w:tcPr>
          <w:p>
            <w:pPr>
              <w:pStyle w:val="18"/>
              <w:bidi w:val="0"/>
              <w:jc w:val="center"/>
              <w:rPr>
                <w:rFonts w:hint="eastAsia"/>
              </w:rPr>
            </w:pPr>
            <w:r>
              <w:rPr>
                <w:rFonts w:hint="eastAsia"/>
              </w:rPr>
              <w:t>路桥区</w:t>
            </w:r>
          </w:p>
        </w:tc>
        <w:tc>
          <w:tcPr>
            <w:tcW w:w="2385" w:type="dxa"/>
            <w:vAlign w:val="center"/>
          </w:tcPr>
          <w:p>
            <w:pPr>
              <w:pStyle w:val="18"/>
              <w:bidi w:val="0"/>
              <w:jc w:val="center"/>
              <w:rPr>
                <w:rFonts w:hint="eastAsia"/>
                <w:lang w:val="zh-CN" w:eastAsia="zh-CN"/>
              </w:rPr>
            </w:pPr>
            <w:r>
              <w:rPr>
                <w:rFonts w:hint="default"/>
              </w:rPr>
              <w:t>路桥区应急管理局办公室</w:t>
            </w:r>
          </w:p>
        </w:tc>
        <w:tc>
          <w:tcPr>
            <w:tcW w:w="3195" w:type="dxa"/>
            <w:vAlign w:val="center"/>
          </w:tcPr>
          <w:p>
            <w:pPr>
              <w:pStyle w:val="18"/>
              <w:bidi w:val="0"/>
              <w:jc w:val="center"/>
              <w:rPr>
                <w:rFonts w:hint="eastAsia"/>
                <w:lang w:val="zh-CN" w:eastAsia="zh-CN"/>
              </w:rPr>
            </w:pPr>
            <w:r>
              <w:rPr>
                <w:rFonts w:hint="default"/>
              </w:rPr>
              <w:t>路桥区桐屿街道文化路705号人民政府北楼345</w:t>
            </w:r>
          </w:p>
        </w:tc>
        <w:tc>
          <w:tcPr>
            <w:tcW w:w="1899" w:type="dxa"/>
            <w:vAlign w:val="center"/>
          </w:tcPr>
          <w:p>
            <w:pPr>
              <w:pStyle w:val="18"/>
              <w:bidi w:val="0"/>
              <w:jc w:val="center"/>
              <w:rPr>
                <w:rFonts w:hint="eastAsia"/>
                <w:lang w:val="zh-CN" w:eastAsia="zh-CN"/>
              </w:rPr>
            </w:pPr>
            <w:r>
              <w:rPr>
                <w:rFonts w:hint="default"/>
              </w:rPr>
              <w:t>89228981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2" w:hRule="atLeast"/>
        </w:trPr>
        <w:tc>
          <w:tcPr>
            <w:tcW w:w="1501" w:type="dxa"/>
            <w:vAlign w:val="center"/>
          </w:tcPr>
          <w:p>
            <w:pPr>
              <w:pStyle w:val="18"/>
              <w:bidi w:val="0"/>
              <w:jc w:val="center"/>
              <w:rPr>
                <w:rFonts w:hint="eastAsia"/>
              </w:rPr>
            </w:pPr>
            <w:r>
              <w:rPr>
                <w:rFonts w:hint="eastAsia"/>
              </w:rPr>
              <w:t>临海市</w:t>
            </w:r>
          </w:p>
        </w:tc>
        <w:tc>
          <w:tcPr>
            <w:tcW w:w="2385" w:type="dxa"/>
            <w:vAlign w:val="center"/>
          </w:tcPr>
          <w:p>
            <w:pPr>
              <w:pStyle w:val="18"/>
              <w:bidi w:val="0"/>
              <w:jc w:val="center"/>
              <w:rPr>
                <w:rFonts w:hint="eastAsia"/>
                <w:lang w:val="zh-CN" w:eastAsia="zh-CN"/>
              </w:rPr>
            </w:pPr>
            <w:r>
              <w:rPr>
                <w:rFonts w:hint="default"/>
              </w:rPr>
              <w:t>临海市应急管理局</w:t>
            </w:r>
          </w:p>
        </w:tc>
        <w:tc>
          <w:tcPr>
            <w:tcW w:w="3195" w:type="dxa"/>
            <w:vAlign w:val="center"/>
          </w:tcPr>
          <w:p>
            <w:pPr>
              <w:pStyle w:val="18"/>
              <w:bidi w:val="0"/>
              <w:jc w:val="center"/>
              <w:rPr>
                <w:rFonts w:hint="eastAsia"/>
                <w:lang w:val="zh-CN" w:eastAsia="zh-CN"/>
              </w:rPr>
            </w:pPr>
            <w:r>
              <w:rPr>
                <w:rFonts w:hint="default"/>
              </w:rPr>
              <w:t>临海台运大楼4楼402室</w:t>
            </w:r>
          </w:p>
        </w:tc>
        <w:tc>
          <w:tcPr>
            <w:tcW w:w="1899" w:type="dxa"/>
            <w:vAlign w:val="center"/>
          </w:tcPr>
          <w:p>
            <w:pPr>
              <w:pStyle w:val="18"/>
              <w:bidi w:val="0"/>
              <w:jc w:val="center"/>
              <w:rPr>
                <w:rFonts w:hint="eastAsia"/>
                <w:lang w:val="zh-CN" w:eastAsia="zh-CN"/>
              </w:rPr>
            </w:pPr>
            <w:r>
              <w:rPr>
                <w:rFonts w:hint="default"/>
              </w:rPr>
              <w:t>85015062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1501" w:type="dxa"/>
            <w:vAlign w:val="center"/>
          </w:tcPr>
          <w:p>
            <w:pPr>
              <w:pStyle w:val="18"/>
              <w:bidi w:val="0"/>
              <w:jc w:val="center"/>
              <w:rPr>
                <w:rFonts w:hint="eastAsia"/>
              </w:rPr>
            </w:pPr>
            <w:r>
              <w:rPr>
                <w:rFonts w:hint="eastAsia"/>
              </w:rPr>
              <w:t>温岭市</w:t>
            </w:r>
          </w:p>
        </w:tc>
        <w:tc>
          <w:tcPr>
            <w:tcW w:w="2385" w:type="dxa"/>
            <w:vAlign w:val="center"/>
          </w:tcPr>
          <w:p>
            <w:pPr>
              <w:pStyle w:val="18"/>
              <w:bidi w:val="0"/>
              <w:jc w:val="center"/>
              <w:rPr>
                <w:rFonts w:hint="eastAsia"/>
                <w:lang w:val="zh-CN" w:eastAsia="zh-CN"/>
              </w:rPr>
            </w:pPr>
            <w:r>
              <w:rPr>
                <w:rFonts w:hint="default"/>
              </w:rPr>
              <w:t>温岭市应急管理局办公室</w:t>
            </w:r>
          </w:p>
        </w:tc>
        <w:tc>
          <w:tcPr>
            <w:tcW w:w="3195" w:type="dxa"/>
            <w:vAlign w:val="center"/>
          </w:tcPr>
          <w:p>
            <w:pPr>
              <w:pStyle w:val="18"/>
              <w:bidi w:val="0"/>
              <w:jc w:val="center"/>
              <w:rPr>
                <w:rFonts w:hint="eastAsia"/>
                <w:lang w:val="zh-CN" w:eastAsia="zh-CN"/>
              </w:rPr>
            </w:pPr>
            <w:r>
              <w:rPr>
                <w:rFonts w:hint="default"/>
              </w:rPr>
              <w:t>温岭市太平街道人民东路200号应急大厦901室</w:t>
            </w:r>
          </w:p>
        </w:tc>
        <w:tc>
          <w:tcPr>
            <w:tcW w:w="1899" w:type="dxa"/>
            <w:vAlign w:val="center"/>
          </w:tcPr>
          <w:p>
            <w:pPr>
              <w:pStyle w:val="18"/>
              <w:bidi w:val="0"/>
              <w:jc w:val="center"/>
              <w:rPr>
                <w:rFonts w:hint="eastAsia"/>
                <w:lang w:val="zh-CN" w:eastAsia="zh-CN"/>
              </w:rPr>
            </w:pPr>
            <w:r>
              <w:rPr>
                <w:rFonts w:hint="default"/>
              </w:rPr>
              <w:t>0576-86128080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2" w:hRule="atLeast"/>
        </w:trPr>
        <w:tc>
          <w:tcPr>
            <w:tcW w:w="1501" w:type="dxa"/>
            <w:vAlign w:val="center"/>
          </w:tcPr>
          <w:p>
            <w:pPr>
              <w:pStyle w:val="18"/>
              <w:bidi w:val="0"/>
              <w:jc w:val="center"/>
              <w:rPr>
                <w:rFonts w:hint="eastAsia"/>
              </w:rPr>
            </w:pPr>
            <w:r>
              <w:rPr>
                <w:rFonts w:hint="eastAsia"/>
              </w:rPr>
              <w:t>玉环市</w:t>
            </w:r>
          </w:p>
        </w:tc>
        <w:tc>
          <w:tcPr>
            <w:tcW w:w="2385" w:type="dxa"/>
            <w:vAlign w:val="center"/>
          </w:tcPr>
          <w:p>
            <w:pPr>
              <w:pStyle w:val="18"/>
              <w:bidi w:val="0"/>
              <w:jc w:val="center"/>
              <w:rPr>
                <w:rFonts w:hint="eastAsia"/>
                <w:lang w:val="zh-CN" w:eastAsia="zh-CN"/>
              </w:rPr>
            </w:pPr>
            <w:r>
              <w:rPr>
                <w:rFonts w:hint="default"/>
              </w:rPr>
              <w:t>玉环市应急管理局</w:t>
            </w:r>
          </w:p>
        </w:tc>
        <w:tc>
          <w:tcPr>
            <w:tcW w:w="3195" w:type="dxa"/>
            <w:vAlign w:val="center"/>
          </w:tcPr>
          <w:p>
            <w:pPr>
              <w:pStyle w:val="18"/>
              <w:bidi w:val="0"/>
              <w:jc w:val="center"/>
              <w:rPr>
                <w:rFonts w:hint="eastAsia"/>
                <w:lang w:val="zh-CN" w:eastAsia="zh-CN"/>
              </w:rPr>
            </w:pPr>
            <w:r>
              <w:rPr>
                <w:rFonts w:hint="default"/>
              </w:rPr>
              <w:t>玉环市玉城街道玉兴西路18号409室</w:t>
            </w:r>
          </w:p>
        </w:tc>
        <w:tc>
          <w:tcPr>
            <w:tcW w:w="1899" w:type="dxa"/>
            <w:vAlign w:val="center"/>
          </w:tcPr>
          <w:p>
            <w:pPr>
              <w:pStyle w:val="18"/>
              <w:bidi w:val="0"/>
              <w:jc w:val="center"/>
              <w:rPr>
                <w:rFonts w:hint="eastAsia"/>
                <w:lang w:val="zh-CN" w:eastAsia="zh-CN"/>
              </w:rPr>
            </w:pPr>
            <w:r>
              <w:rPr>
                <w:rFonts w:hint="default"/>
              </w:rPr>
              <w:t>89907618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5" w:hRule="atLeast"/>
        </w:trPr>
        <w:tc>
          <w:tcPr>
            <w:tcW w:w="1501" w:type="dxa"/>
            <w:vAlign w:val="center"/>
          </w:tcPr>
          <w:p>
            <w:pPr>
              <w:pStyle w:val="18"/>
              <w:bidi w:val="0"/>
              <w:jc w:val="center"/>
              <w:rPr>
                <w:rFonts w:hint="eastAsia"/>
              </w:rPr>
            </w:pPr>
            <w:r>
              <w:rPr>
                <w:rFonts w:hint="eastAsia"/>
              </w:rPr>
              <w:t>天台县</w:t>
            </w:r>
          </w:p>
        </w:tc>
        <w:tc>
          <w:tcPr>
            <w:tcW w:w="2385" w:type="dxa"/>
            <w:vAlign w:val="center"/>
          </w:tcPr>
          <w:p>
            <w:pPr>
              <w:pStyle w:val="18"/>
              <w:bidi w:val="0"/>
              <w:jc w:val="center"/>
              <w:rPr>
                <w:rFonts w:hint="eastAsia"/>
                <w:lang w:val="zh-CN" w:eastAsia="zh-CN"/>
              </w:rPr>
            </w:pPr>
            <w:r>
              <w:rPr>
                <w:rFonts w:hint="default"/>
              </w:rPr>
              <w:t>天台县应急管理局办公室</w:t>
            </w:r>
          </w:p>
        </w:tc>
        <w:tc>
          <w:tcPr>
            <w:tcW w:w="3195" w:type="dxa"/>
            <w:vAlign w:val="center"/>
          </w:tcPr>
          <w:p>
            <w:pPr>
              <w:pStyle w:val="18"/>
              <w:bidi w:val="0"/>
              <w:jc w:val="center"/>
              <w:rPr>
                <w:rFonts w:hint="eastAsia"/>
                <w:lang w:val="zh-CN" w:eastAsia="zh-CN"/>
              </w:rPr>
            </w:pPr>
            <w:r>
              <w:rPr>
                <w:rFonts w:hint="default"/>
              </w:rPr>
              <w:t>天台县工人东路106号应急管理局507室</w:t>
            </w:r>
          </w:p>
        </w:tc>
        <w:tc>
          <w:tcPr>
            <w:tcW w:w="1899" w:type="dxa"/>
            <w:vAlign w:val="center"/>
          </w:tcPr>
          <w:p>
            <w:pPr>
              <w:pStyle w:val="18"/>
              <w:bidi w:val="0"/>
              <w:jc w:val="center"/>
              <w:rPr>
                <w:rFonts w:hint="eastAsia"/>
                <w:lang w:val="zh-CN" w:eastAsia="zh-CN"/>
              </w:rPr>
            </w:pPr>
            <w:r>
              <w:rPr>
                <w:rFonts w:hint="default"/>
              </w:rPr>
              <w:t>83930819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4" w:hRule="atLeast"/>
        </w:trPr>
        <w:tc>
          <w:tcPr>
            <w:tcW w:w="1501" w:type="dxa"/>
            <w:vAlign w:val="center"/>
          </w:tcPr>
          <w:p>
            <w:pPr>
              <w:pStyle w:val="18"/>
              <w:bidi w:val="0"/>
              <w:jc w:val="center"/>
              <w:rPr>
                <w:rFonts w:hint="eastAsia"/>
              </w:rPr>
            </w:pPr>
            <w:r>
              <w:rPr>
                <w:rFonts w:hint="eastAsia"/>
              </w:rPr>
              <w:t>仙居县</w:t>
            </w:r>
          </w:p>
        </w:tc>
        <w:tc>
          <w:tcPr>
            <w:tcW w:w="2385" w:type="dxa"/>
            <w:vAlign w:val="center"/>
          </w:tcPr>
          <w:p>
            <w:pPr>
              <w:pStyle w:val="18"/>
              <w:bidi w:val="0"/>
              <w:jc w:val="center"/>
              <w:rPr>
                <w:rFonts w:hint="eastAsia"/>
                <w:lang w:val="zh-CN" w:eastAsia="zh-CN"/>
              </w:rPr>
            </w:pPr>
            <w:r>
              <w:rPr>
                <w:rFonts w:hint="default"/>
              </w:rPr>
              <w:t>仙居县应急管理局办公室</w:t>
            </w:r>
          </w:p>
        </w:tc>
        <w:tc>
          <w:tcPr>
            <w:tcW w:w="3195" w:type="dxa"/>
            <w:vAlign w:val="center"/>
          </w:tcPr>
          <w:p>
            <w:pPr>
              <w:pStyle w:val="18"/>
              <w:bidi w:val="0"/>
              <w:jc w:val="center"/>
              <w:rPr>
                <w:rFonts w:hint="eastAsia"/>
                <w:lang w:val="zh-CN" w:eastAsia="zh-CN"/>
              </w:rPr>
            </w:pPr>
            <w:r>
              <w:rPr>
                <w:rFonts w:hint="default"/>
              </w:rPr>
              <w:t>仙居县安洲街道上林湾55号4号楼309室</w:t>
            </w:r>
          </w:p>
        </w:tc>
        <w:tc>
          <w:tcPr>
            <w:tcW w:w="1899" w:type="dxa"/>
            <w:vAlign w:val="center"/>
          </w:tcPr>
          <w:p>
            <w:pPr>
              <w:pStyle w:val="18"/>
              <w:bidi w:val="0"/>
              <w:jc w:val="center"/>
              <w:rPr>
                <w:rFonts w:hint="eastAsia"/>
                <w:lang w:val="zh-CN" w:eastAsia="zh-CN"/>
              </w:rPr>
            </w:pPr>
            <w:r>
              <w:rPr>
                <w:rFonts w:hint="default"/>
              </w:rPr>
              <w:t>89381007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2" w:hRule="atLeast"/>
        </w:trPr>
        <w:tc>
          <w:tcPr>
            <w:tcW w:w="1501" w:type="dxa"/>
            <w:vAlign w:val="center"/>
          </w:tcPr>
          <w:p>
            <w:pPr>
              <w:pStyle w:val="18"/>
              <w:bidi w:val="0"/>
              <w:jc w:val="center"/>
              <w:rPr>
                <w:rFonts w:hint="eastAsia"/>
              </w:rPr>
            </w:pPr>
            <w:r>
              <w:rPr>
                <w:rFonts w:hint="eastAsia"/>
              </w:rPr>
              <w:t>三门县</w:t>
            </w:r>
          </w:p>
        </w:tc>
        <w:tc>
          <w:tcPr>
            <w:tcW w:w="2385" w:type="dxa"/>
            <w:vAlign w:val="center"/>
          </w:tcPr>
          <w:p>
            <w:pPr>
              <w:pStyle w:val="18"/>
              <w:bidi w:val="0"/>
              <w:jc w:val="center"/>
              <w:rPr>
                <w:rFonts w:hint="eastAsia"/>
                <w:lang w:val="zh-CN" w:eastAsia="zh-CN"/>
              </w:rPr>
            </w:pPr>
            <w:r>
              <w:rPr>
                <w:rFonts w:hint="default"/>
              </w:rPr>
              <w:t>三门县应急管理局</w:t>
            </w:r>
          </w:p>
        </w:tc>
        <w:tc>
          <w:tcPr>
            <w:tcW w:w="3195" w:type="dxa"/>
            <w:vAlign w:val="center"/>
          </w:tcPr>
          <w:p>
            <w:pPr>
              <w:pStyle w:val="18"/>
              <w:bidi w:val="0"/>
              <w:jc w:val="center"/>
              <w:rPr>
                <w:rFonts w:hint="eastAsia"/>
                <w:lang w:val="zh-CN" w:eastAsia="zh-CN"/>
              </w:rPr>
            </w:pPr>
            <w:r>
              <w:rPr>
                <w:rFonts w:hint="default"/>
              </w:rPr>
              <w:t>滨海大道2号（总工会大楼八楼802室）</w:t>
            </w:r>
          </w:p>
        </w:tc>
        <w:tc>
          <w:tcPr>
            <w:tcW w:w="1899" w:type="dxa"/>
            <w:vAlign w:val="center"/>
          </w:tcPr>
          <w:p>
            <w:pPr>
              <w:pStyle w:val="18"/>
              <w:bidi w:val="0"/>
              <w:jc w:val="center"/>
              <w:rPr>
                <w:rFonts w:hint="eastAsia"/>
                <w:lang w:val="zh-CN" w:eastAsia="zh-CN"/>
              </w:rPr>
            </w:pPr>
            <w:r>
              <w:rPr>
                <w:rFonts w:hint="default"/>
              </w:rPr>
              <w:t>83339832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1501" w:type="dxa"/>
            <w:vAlign w:val="center"/>
          </w:tcPr>
          <w:p>
            <w:pPr>
              <w:pStyle w:val="18"/>
              <w:bidi w:val="0"/>
              <w:jc w:val="center"/>
              <w:rPr>
                <w:rFonts w:hint="eastAsia"/>
              </w:rPr>
            </w:pPr>
            <w:r>
              <w:rPr>
                <w:rFonts w:hint="eastAsia"/>
              </w:rPr>
              <w:t>台州湾新区</w:t>
            </w:r>
          </w:p>
        </w:tc>
        <w:tc>
          <w:tcPr>
            <w:tcW w:w="2385" w:type="dxa"/>
            <w:vMerge w:val="restart"/>
            <w:vAlign w:val="center"/>
          </w:tcPr>
          <w:p>
            <w:pPr>
              <w:pStyle w:val="18"/>
              <w:bidi w:val="0"/>
              <w:jc w:val="center"/>
              <w:rPr>
                <w:rFonts w:hint="eastAsia"/>
                <w:lang w:val="zh-CN" w:eastAsia="zh-CN"/>
              </w:rPr>
            </w:pPr>
            <w:r>
              <w:rPr>
                <w:rFonts w:hint="eastAsia"/>
              </w:rPr>
              <w:t>台州市</w:t>
            </w:r>
            <w:r>
              <w:rPr>
                <w:rFonts w:hint="eastAsia"/>
                <w:lang w:eastAsia="zh-CN"/>
              </w:rPr>
              <w:t>应急管理局办公室</w:t>
            </w:r>
          </w:p>
        </w:tc>
        <w:tc>
          <w:tcPr>
            <w:tcW w:w="3195" w:type="dxa"/>
            <w:vMerge w:val="restart"/>
            <w:vAlign w:val="center"/>
          </w:tcPr>
          <w:p>
            <w:pPr>
              <w:pStyle w:val="18"/>
              <w:bidi w:val="0"/>
              <w:jc w:val="center"/>
              <w:rPr>
                <w:rFonts w:hint="eastAsia"/>
                <w:lang w:val="zh-CN" w:eastAsia="zh-CN"/>
              </w:rPr>
            </w:pPr>
            <w:r>
              <w:rPr>
                <w:rFonts w:hint="eastAsia"/>
                <w:lang w:eastAsia="zh-CN"/>
              </w:rPr>
              <w:t>椒江区白云山西路</w:t>
            </w:r>
            <w:r>
              <w:rPr>
                <w:rFonts w:hint="eastAsia"/>
                <w:lang w:val="en-US" w:eastAsia="zh-CN"/>
              </w:rPr>
              <w:t>300号应急综合</w:t>
            </w:r>
            <w:r>
              <w:t>大楼</w:t>
            </w:r>
            <w:r>
              <w:rPr>
                <w:rFonts w:hint="eastAsia"/>
                <w:lang w:val="en-US" w:eastAsia="zh-CN"/>
              </w:rPr>
              <w:t>1</w:t>
            </w:r>
            <w:r>
              <w:t>3</w:t>
            </w:r>
            <w:r>
              <w:rPr>
                <w:rFonts w:hint="eastAsia"/>
                <w:lang w:val="en-US" w:eastAsia="zh-CN"/>
              </w:rPr>
              <w:t>13</w:t>
            </w:r>
            <w:r>
              <w:t>室</w:t>
            </w:r>
          </w:p>
        </w:tc>
        <w:tc>
          <w:tcPr>
            <w:tcW w:w="1899" w:type="dxa"/>
            <w:vMerge w:val="restart"/>
            <w:vAlign w:val="center"/>
          </w:tcPr>
          <w:p>
            <w:pPr>
              <w:pStyle w:val="18"/>
              <w:bidi w:val="0"/>
              <w:jc w:val="center"/>
              <w:rPr>
                <w:rFonts w:hint="eastAsia"/>
                <w:lang w:val="en-US" w:eastAsia="zh-CN"/>
              </w:rPr>
            </w:pPr>
            <w:r>
              <w:rPr>
                <w:rFonts w:hint="eastAsia"/>
              </w:rPr>
              <w:t>8851</w:t>
            </w:r>
            <w:r>
              <w:rPr>
                <w:rFonts w:hint="eastAsia"/>
                <w:lang w:val="en-US" w:eastAsia="zh-CN"/>
              </w:rPr>
              <w:t>1395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5" w:hRule="atLeast"/>
        </w:trPr>
        <w:tc>
          <w:tcPr>
            <w:tcW w:w="1501" w:type="dxa"/>
            <w:vAlign w:val="center"/>
          </w:tcPr>
          <w:p>
            <w:pPr>
              <w:pStyle w:val="18"/>
              <w:bidi w:val="0"/>
              <w:jc w:val="center"/>
              <w:rPr>
                <w:rFonts w:hint="eastAsia"/>
              </w:rPr>
            </w:pPr>
            <w:r>
              <w:rPr>
                <w:rFonts w:hint="eastAsia"/>
              </w:rPr>
              <w:t>市直单位</w:t>
            </w:r>
          </w:p>
        </w:tc>
        <w:tc>
          <w:tcPr>
            <w:tcW w:w="2385" w:type="dxa"/>
            <w:vMerge w:val="continue"/>
            <w:tcBorders>
              <w:top w:val="nil"/>
            </w:tcBorders>
            <w:vAlign w:val="center"/>
          </w:tcPr>
          <w:p>
            <w:pPr>
              <w:pStyle w:val="18"/>
              <w:bidi w:val="0"/>
              <w:jc w:val="center"/>
              <w:rPr>
                <w:rFonts w:hint="eastAsia"/>
              </w:rPr>
            </w:pPr>
          </w:p>
        </w:tc>
        <w:tc>
          <w:tcPr>
            <w:tcW w:w="3195" w:type="dxa"/>
            <w:vMerge w:val="continue"/>
            <w:tcBorders>
              <w:top w:val="nil"/>
            </w:tcBorders>
            <w:vAlign w:val="center"/>
          </w:tcPr>
          <w:p>
            <w:pPr>
              <w:pStyle w:val="18"/>
              <w:bidi w:val="0"/>
              <w:jc w:val="center"/>
              <w:rPr>
                <w:rFonts w:hint="eastAsia"/>
              </w:rPr>
            </w:pPr>
          </w:p>
        </w:tc>
        <w:tc>
          <w:tcPr>
            <w:tcW w:w="1899" w:type="dxa"/>
            <w:vMerge w:val="continue"/>
            <w:tcBorders>
              <w:top w:val="nil"/>
            </w:tcBorders>
            <w:vAlign w:val="center"/>
          </w:tcPr>
          <w:p>
            <w:pPr>
              <w:pStyle w:val="18"/>
              <w:bidi w:val="0"/>
              <w:jc w:val="center"/>
              <w:rPr>
                <w:rFonts w:hint="eastAsia"/>
              </w:rPr>
            </w:pPr>
          </w:p>
        </w:tc>
      </w:tr>
    </w:tbl>
    <w:p>
      <w:pPr>
        <w:pStyle w:val="2"/>
        <w:rPr>
          <w:rFonts w:hint="eastAsia"/>
        </w:rPr>
        <w:sectPr>
          <w:pgSz w:w="11906" w:h="16838"/>
          <w:pgMar w:top="1701" w:right="1531" w:bottom="1701" w:left="1531" w:header="851" w:footer="992" w:gutter="0"/>
          <w:pgNumType w:fmt="decimal"/>
          <w:cols w:space="0" w:num="1"/>
          <w:rtlGutter w:val="0"/>
          <w:docGrid w:type="lines" w:linePitch="312" w:charSpace="0"/>
        </w:sectPr>
      </w:pPr>
    </w:p>
    <w:tbl>
      <w:tblPr>
        <w:tblStyle w:val="12"/>
        <w:tblpPr w:leftFromText="181" w:rightFromText="181" w:tblpYSpec="bottom"/>
        <w:tblOverlap w:val="never"/>
        <w:tblW w:w="9003" w:type="dxa"/>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9003"/>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9003" w:type="dxa"/>
            <w:noWrap w:val="0"/>
            <w:vAlign w:val="center"/>
          </w:tcPr>
          <w:p>
            <w:pPr>
              <w:keepNext w:val="0"/>
              <w:keepLines w:val="0"/>
              <w:pageBreakBefore w:val="0"/>
              <w:widowControl w:val="0"/>
              <w:kinsoku/>
              <w:wordWrap/>
              <w:overflowPunct/>
              <w:topLinePunct w:val="0"/>
              <w:autoSpaceDE/>
              <w:autoSpaceDN/>
              <w:bidi w:val="0"/>
              <w:adjustRightInd/>
              <w:snapToGrid/>
              <w:spacing w:before="89" w:beforeLines="20" w:after="89" w:afterLines="20" w:line="300" w:lineRule="exact"/>
              <w:ind w:left="0" w:leftChars="0" w:firstLine="0" w:firstLineChars="0"/>
              <w:textAlignment w:val="auto"/>
              <w:rPr>
                <w:rFonts w:hint="eastAsia" w:ascii="仿宋_GB2312" w:eastAsia="仿宋_GB2312"/>
                <w:sz w:val="28"/>
                <w:szCs w:val="28"/>
              </w:rPr>
            </w:pPr>
            <w:r>
              <w:rPr>
                <w:rFonts w:hint="eastAsia" w:ascii="仿宋_GB2312" w:eastAsia="仿宋_GB2312"/>
                <w:sz w:val="28"/>
                <w:szCs w:val="28"/>
              </w:rPr>
              <w:t>台州市应急管理局办公室                     202</w:t>
            </w:r>
            <w:r>
              <w:rPr>
                <w:rFonts w:hint="eastAsia"/>
                <w:sz w:val="28"/>
                <w:szCs w:val="28"/>
                <w:lang w:val="en-US" w:eastAsia="zh-CN"/>
              </w:rPr>
              <w:t>2</w:t>
            </w:r>
            <w:r>
              <w:rPr>
                <w:rFonts w:hint="eastAsia" w:ascii="仿宋_GB2312" w:eastAsia="仿宋_GB2312"/>
                <w:sz w:val="28"/>
                <w:szCs w:val="28"/>
              </w:rPr>
              <w:t>年</w:t>
            </w:r>
            <w:r>
              <w:rPr>
                <w:rFonts w:hint="eastAsia"/>
                <w:sz w:val="28"/>
                <w:szCs w:val="28"/>
                <w:lang w:val="en-US" w:eastAsia="zh-CN"/>
              </w:rPr>
              <w:t>9</w:t>
            </w:r>
            <w:r>
              <w:rPr>
                <w:rFonts w:hint="eastAsia" w:ascii="仿宋_GB2312" w:eastAsia="仿宋_GB2312"/>
                <w:sz w:val="28"/>
                <w:szCs w:val="28"/>
              </w:rPr>
              <w:t>月</w:t>
            </w:r>
            <w:r>
              <w:rPr>
                <w:rFonts w:hint="eastAsia"/>
                <w:sz w:val="28"/>
                <w:szCs w:val="28"/>
                <w:lang w:val="en-US" w:eastAsia="zh-CN"/>
              </w:rPr>
              <w:t>7</w:t>
            </w:r>
            <w:r>
              <w:rPr>
                <w:rFonts w:hint="eastAsia" w:ascii="仿宋_GB2312" w:eastAsia="仿宋_GB2312"/>
                <w:sz w:val="28"/>
                <w:szCs w:val="28"/>
              </w:rPr>
              <w:t>日印发</w:t>
            </w:r>
          </w:p>
        </w:tc>
      </w:tr>
    </w:tbl>
    <w:p>
      <w:pPr>
        <w:rPr>
          <w:rFonts w:hint="eastAsia"/>
        </w:rPr>
      </w:pPr>
    </w:p>
    <w:sectPr>
      <w:pgSz w:w="11906" w:h="16838"/>
      <w:pgMar w:top="1701" w:right="1531" w:bottom="1701" w:left="1531"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F47A03"/>
    <w:multiLevelType w:val="singleLevel"/>
    <w:tmpl w:val="0BF47A03"/>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iNTBjMWU5MmU3NGNlNWJhNzIyZTNmNzUwZTU5OTAifQ=="/>
  </w:docVars>
  <w:rsids>
    <w:rsidRoot w:val="3B646830"/>
    <w:rsid w:val="002C42BA"/>
    <w:rsid w:val="13C838FE"/>
    <w:rsid w:val="217B653C"/>
    <w:rsid w:val="26F01935"/>
    <w:rsid w:val="2EF788D3"/>
    <w:rsid w:val="37FF6F52"/>
    <w:rsid w:val="38B06130"/>
    <w:rsid w:val="3B646830"/>
    <w:rsid w:val="3DD20D5D"/>
    <w:rsid w:val="3EBC9DEA"/>
    <w:rsid w:val="3FF87828"/>
    <w:rsid w:val="414B50FA"/>
    <w:rsid w:val="46943964"/>
    <w:rsid w:val="47FC61A6"/>
    <w:rsid w:val="4F9A42CC"/>
    <w:rsid w:val="5AB85F0D"/>
    <w:rsid w:val="5B956E8B"/>
    <w:rsid w:val="67B56881"/>
    <w:rsid w:val="69291E7C"/>
    <w:rsid w:val="6ADA1156"/>
    <w:rsid w:val="6DC51B26"/>
    <w:rsid w:val="6F3FF775"/>
    <w:rsid w:val="6F718BCE"/>
    <w:rsid w:val="6FDB4889"/>
    <w:rsid w:val="6FE1196A"/>
    <w:rsid w:val="6FFFBE04"/>
    <w:rsid w:val="79134A53"/>
    <w:rsid w:val="797F88C1"/>
    <w:rsid w:val="7DDF4BF8"/>
    <w:rsid w:val="D73E5BC6"/>
    <w:rsid w:val="DD4DC192"/>
    <w:rsid w:val="E77E1BE0"/>
    <w:rsid w:val="EBBB0A2F"/>
    <w:rsid w:val="FD9FB49F"/>
    <w:rsid w:val="FE6F994D"/>
    <w:rsid w:val="FEBD437B"/>
    <w:rsid w:val="FF9F7DBE"/>
    <w:rsid w:val="FFF19F84"/>
    <w:rsid w:val="FFF5450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4"/>
    <w:qFormat/>
    <w:uiPriority w:val="0"/>
    <w:pPr>
      <w:widowControl w:val="0"/>
      <w:topLinePunct/>
      <w:adjustRightInd w:val="0"/>
      <w:snapToGrid w:val="0"/>
      <w:spacing w:line="600" w:lineRule="exact"/>
      <w:ind w:firstLine="440" w:firstLineChars="200"/>
      <w:jc w:val="both"/>
    </w:pPr>
    <w:rPr>
      <w:rFonts w:ascii="仿宋_GB2312" w:hAnsi="仿宋_GB2312" w:eastAsia="仿宋_GB2312" w:cs="Times New Roman"/>
      <w:sz w:val="32"/>
      <w:szCs w:val="22"/>
      <w:lang w:val="en-US" w:eastAsia="zh-CN" w:bidi="ar-SA"/>
    </w:rPr>
  </w:style>
  <w:style w:type="paragraph" w:styleId="5">
    <w:name w:val="heading 1"/>
    <w:basedOn w:val="1"/>
    <w:next w:val="1"/>
    <w:link w:val="15"/>
    <w:qFormat/>
    <w:uiPriority w:val="0"/>
    <w:pPr>
      <w:keepNext/>
      <w:keepLines/>
      <w:spacing w:beforeLines="0" w:beforeAutospacing="0" w:afterLines="0" w:afterAutospacing="0" w:line="700" w:lineRule="exact"/>
      <w:ind w:firstLine="0" w:firstLineChars="0"/>
      <w:jc w:val="center"/>
      <w:outlineLvl w:val="0"/>
    </w:pPr>
    <w:rPr>
      <w:rFonts w:ascii="Times New Roman" w:hAnsi="Times New Roman" w:eastAsia="方正小标宋简体" w:cs="方正小标宋简体"/>
      <w:kern w:val="44"/>
      <w:sz w:val="44"/>
      <w:szCs w:val="24"/>
    </w:rPr>
  </w:style>
  <w:style w:type="paragraph" w:styleId="6">
    <w:name w:val="heading 2"/>
    <w:basedOn w:val="1"/>
    <w:next w:val="1"/>
    <w:link w:val="16"/>
    <w:unhideWhenUsed/>
    <w:qFormat/>
    <w:uiPriority w:val="0"/>
    <w:pPr>
      <w:keepNext w:val="0"/>
      <w:keepLines w:val="0"/>
      <w:spacing w:beforeLines="0" w:beforeAutospacing="0" w:afterLines="0" w:afterAutospacing="0" w:line="600" w:lineRule="exact"/>
      <w:ind w:firstLine="800" w:firstLineChars="200"/>
      <w:jc w:val="left"/>
      <w:outlineLvl w:val="1"/>
    </w:pPr>
    <w:rPr>
      <w:rFonts w:ascii="黑体" w:hAnsi="黑体" w:eastAsia="黑体"/>
    </w:rPr>
  </w:style>
  <w:style w:type="paragraph" w:styleId="7">
    <w:name w:val="heading 3"/>
    <w:basedOn w:val="1"/>
    <w:next w:val="1"/>
    <w:link w:val="17"/>
    <w:unhideWhenUsed/>
    <w:qFormat/>
    <w:uiPriority w:val="0"/>
    <w:pPr>
      <w:keepNext w:val="0"/>
      <w:keepLines w:val="0"/>
      <w:spacing w:beforeLines="0" w:beforeAutospacing="0" w:afterLines="0" w:afterAutospacing="0" w:line="600" w:lineRule="exact"/>
      <w:ind w:firstLine="640" w:firstLineChars="200"/>
      <w:jc w:val="left"/>
      <w:outlineLvl w:val="2"/>
    </w:pPr>
    <w:rPr>
      <w:rFonts w:ascii="楷体_GB2312" w:hAnsi="楷体_GB2312" w:eastAsia="楷体_GB2312"/>
      <w:b/>
    </w:rPr>
  </w:style>
  <w:style w:type="paragraph" w:styleId="8">
    <w:name w:val="heading 4"/>
    <w:basedOn w:val="1"/>
    <w:next w:val="1"/>
    <w:link w:val="25"/>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widowControl w:val="0"/>
      <w:spacing w:afterLines="0" w:line="500" w:lineRule="exact"/>
      <w:ind w:firstLine="0" w:firstLineChars="200"/>
      <w:jc w:val="both"/>
    </w:pPr>
    <w:rPr>
      <w:rFonts w:ascii="仿宋_GB2312" w:hAnsi="仿宋_GB2312" w:eastAsia="宋体" w:cs="Times New Roman"/>
      <w:kern w:val="2"/>
      <w:sz w:val="28"/>
      <w:szCs w:val="24"/>
      <w:lang w:val="en-US" w:eastAsia="zh-CN" w:bidi="ar-SA"/>
    </w:rPr>
  </w:style>
  <w:style w:type="paragraph" w:styleId="3">
    <w:name w:val="Body Text"/>
    <w:basedOn w:val="1"/>
    <w:next w:val="4"/>
    <w:qFormat/>
    <w:uiPriority w:val="0"/>
    <w:pPr>
      <w:spacing w:afterLines="0"/>
    </w:pPr>
  </w:style>
  <w:style w:type="paragraph" w:customStyle="1" w:styleId="4">
    <w:name w:val="正文首行缩进1"/>
    <w:basedOn w:val="3"/>
    <w:qFormat/>
    <w:uiPriority w:val="0"/>
    <w:pPr>
      <w:spacing w:afterLines="0" w:line="500" w:lineRule="exact"/>
      <w:ind w:firstLine="420"/>
    </w:pPr>
    <w:rPr>
      <w:rFonts w:ascii="仿宋_GB2312"/>
      <w:sz w:val="28"/>
    </w:rPr>
  </w:style>
  <w:style w:type="paragraph" w:styleId="9">
    <w:name w:val="Normal Indent"/>
    <w:basedOn w:val="1"/>
    <w:qFormat/>
    <w:uiPriority w:val="0"/>
    <w:pPr>
      <w:ind w:firstLine="420" w:firstLineChars="200"/>
    </w:pPr>
  </w:style>
  <w:style w:type="paragraph" w:styleId="10">
    <w:name w:val="footer"/>
    <w:basedOn w:val="1"/>
    <w:qFormat/>
    <w:uiPriority w:val="0"/>
    <w:pPr>
      <w:tabs>
        <w:tab w:val="center" w:pos="4153"/>
        <w:tab w:val="right" w:pos="8306"/>
      </w:tabs>
      <w:snapToGrid w:val="0"/>
      <w:spacing w:line="240" w:lineRule="auto"/>
      <w:ind w:firstLine="0" w:firstLineChars="0"/>
      <w:jc w:val="left"/>
    </w:pPr>
    <w:rPr>
      <w:rFonts w:asciiTheme="minorEastAsia" w:hAnsiTheme="minorEastAsia" w:eastAsiaTheme="minorEastAsia"/>
      <w:sz w:val="24"/>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4">
    <w:name w:val="NormalCharacter"/>
    <w:link w:val="1"/>
    <w:semiHidden/>
    <w:qFormat/>
    <w:uiPriority w:val="0"/>
    <w:rPr>
      <w:rFonts w:ascii="仿宋_GB2312" w:hAnsi="仿宋_GB2312" w:eastAsia="仿宋_GB2312" w:cs="Times New Roman"/>
      <w:kern w:val="2"/>
      <w:sz w:val="32"/>
      <w:szCs w:val="24"/>
      <w:lang w:val="en-US" w:eastAsia="zh-CN" w:bidi="ar-SA"/>
    </w:rPr>
  </w:style>
  <w:style w:type="character" w:customStyle="1" w:styleId="15">
    <w:name w:val="标题 1 Char"/>
    <w:link w:val="5"/>
    <w:qFormat/>
    <w:uiPriority w:val="0"/>
    <w:rPr>
      <w:rFonts w:ascii="Times New Roman" w:hAnsi="Times New Roman" w:eastAsia="方正小标宋简体" w:cs="方正小标宋简体"/>
      <w:kern w:val="44"/>
      <w:sz w:val="44"/>
      <w:szCs w:val="24"/>
    </w:rPr>
  </w:style>
  <w:style w:type="character" w:customStyle="1" w:styleId="16">
    <w:name w:val="标题 2 Char"/>
    <w:link w:val="6"/>
    <w:qFormat/>
    <w:uiPriority w:val="0"/>
    <w:rPr>
      <w:rFonts w:ascii="黑体" w:hAnsi="黑体" w:eastAsia="黑体" w:cs="Times New Roman"/>
      <w:sz w:val="32"/>
    </w:rPr>
  </w:style>
  <w:style w:type="character" w:customStyle="1" w:styleId="17">
    <w:name w:val="标题 3 Char"/>
    <w:link w:val="7"/>
    <w:qFormat/>
    <w:uiPriority w:val="0"/>
    <w:rPr>
      <w:rFonts w:ascii="楷体_GB2312" w:hAnsi="楷体_GB2312" w:eastAsia="楷体_GB2312" w:cs="Times New Roman"/>
      <w:b/>
      <w:sz w:val="32"/>
    </w:rPr>
  </w:style>
  <w:style w:type="paragraph" w:customStyle="1" w:styleId="18">
    <w:name w:val="表格"/>
    <w:basedOn w:val="1"/>
    <w:next w:val="1"/>
    <w:qFormat/>
    <w:uiPriority w:val="0"/>
    <w:pPr>
      <w:spacing w:line="320" w:lineRule="exact"/>
      <w:ind w:firstLine="0" w:firstLineChars="0"/>
    </w:pPr>
    <w:rPr>
      <w:rFonts w:eastAsia="仿宋_GB2312"/>
      <w:sz w:val="24"/>
      <w:szCs w:val="24"/>
    </w:rPr>
  </w:style>
  <w:style w:type="paragraph" w:customStyle="1" w:styleId="19">
    <w:name w:val="落款"/>
    <w:basedOn w:val="18"/>
    <w:qFormat/>
    <w:uiPriority w:val="0"/>
    <w:pPr>
      <w:spacing w:line="600" w:lineRule="exact"/>
      <w:jc w:val="center"/>
    </w:pPr>
    <w:rPr>
      <w:rFonts w:eastAsia="楷体_GB2312"/>
      <w:sz w:val="32"/>
    </w:rPr>
  </w:style>
  <w:style w:type="paragraph" w:customStyle="1" w:styleId="20">
    <w:name w:val="第X章"/>
    <w:basedOn w:val="1"/>
    <w:link w:val="23"/>
    <w:qFormat/>
    <w:uiPriority w:val="0"/>
    <w:pPr>
      <w:spacing w:before="100" w:beforeLines="100" w:after="100" w:afterLines="100"/>
      <w:ind w:firstLine="0" w:firstLineChars="0"/>
      <w:jc w:val="center"/>
    </w:pPr>
    <w:rPr>
      <w:rFonts w:ascii="黑体" w:hAnsi="黑体" w:eastAsia="黑体"/>
      <w:szCs w:val="32"/>
    </w:rPr>
  </w:style>
  <w:style w:type="paragraph" w:customStyle="1" w:styleId="21">
    <w:name w:val="第X条"/>
    <w:basedOn w:val="1"/>
    <w:next w:val="1"/>
    <w:link w:val="22"/>
    <w:qFormat/>
    <w:uiPriority w:val="0"/>
    <w:rPr>
      <w:rFonts w:ascii="楷体_GB2312" w:hAnsi="楷体_GB2312" w:eastAsia="楷体_GB2312"/>
      <w:b/>
      <w:bCs/>
      <w:szCs w:val="32"/>
    </w:rPr>
  </w:style>
  <w:style w:type="character" w:customStyle="1" w:styleId="22">
    <w:name w:val="第X条 Char"/>
    <w:link w:val="21"/>
    <w:qFormat/>
    <w:uiPriority w:val="0"/>
    <w:rPr>
      <w:rFonts w:ascii="楷体_GB2312" w:hAnsi="楷体_GB2312" w:eastAsia="楷体_GB2312"/>
      <w:b/>
      <w:bCs/>
      <w:szCs w:val="32"/>
    </w:rPr>
  </w:style>
  <w:style w:type="character" w:customStyle="1" w:styleId="23">
    <w:name w:val="第X章 Char"/>
    <w:link w:val="20"/>
    <w:qFormat/>
    <w:uiPriority w:val="0"/>
    <w:rPr>
      <w:rFonts w:ascii="黑体" w:hAnsi="黑体" w:eastAsia="黑体"/>
      <w:szCs w:val="32"/>
    </w:rPr>
  </w:style>
  <w:style w:type="table" w:customStyle="1" w:styleId="24">
    <w:name w:val="Table Normal"/>
    <w:semiHidden/>
    <w:unhideWhenUsed/>
    <w:qFormat/>
    <w:uiPriority w:val="2"/>
    <w:tblPr>
      <w:tblCellMar>
        <w:top w:w="0" w:type="dxa"/>
        <w:left w:w="0" w:type="dxa"/>
        <w:bottom w:w="0" w:type="dxa"/>
        <w:right w:w="0" w:type="dxa"/>
      </w:tblCellMar>
    </w:tblPr>
  </w:style>
  <w:style w:type="character" w:customStyle="1" w:styleId="25">
    <w:name w:val="标题 4 Char"/>
    <w:link w:val="8"/>
    <w:qFormat/>
    <w:uiPriority w:val="0"/>
    <w:rPr>
      <w:rFonts w:ascii="Arial" w:hAnsi="Arial" w:eastAsia="黑体"/>
      <w:b/>
      <w:sz w:val="28"/>
    </w:rPr>
  </w:style>
  <w:style w:type="paragraph" w:customStyle="1" w:styleId="2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54</Pages>
  <Words>19995</Words>
  <Characters>20930</Characters>
  <Lines>0</Lines>
  <Paragraphs>0</Paragraphs>
  <TotalTime>0</TotalTime>
  <ScaleCrop>false</ScaleCrop>
  <LinksUpToDate>false</LinksUpToDate>
  <CharactersWithSpaces>21196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2022-09-02T14:41:00Z</dcterms:created>
  <dc:creator>admin</dc:creator>
  <cp:lastModifiedBy>TiAmo</cp:lastModifiedBy>
  <cp:lastPrinted>2022-09-02T09:22:00Z</cp:lastPrinted>
  <dcterms:modified xsi:type="dcterms:W3CDTF">2022-09-09T10:17:39Z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2BC2F97AA67A40AE8EA7F8C44434839C</vt:lpwstr>
  </property>
  <property fmtid="{D5CDD505-2E9C-101B-9397-08002B2CF9AE}" pid="4" name="woTemplateTypoMode" linkTarget="0">
    <vt:lpwstr>web</vt:lpwstr>
  </property>
  <property fmtid="{D5CDD505-2E9C-101B-9397-08002B2CF9AE}" pid="5" name="woTemplate" linkTarget="0">
    <vt:i4>1</vt:i4>
  </property>
</Properties>
</file>